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52" w:rsidRPr="006E676F" w:rsidRDefault="00153784" w:rsidP="006E67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32</w:t>
      </w:r>
      <w:r w:rsidR="00B512C9" w:rsidRPr="003D35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512C9" w:rsidRPr="003D3536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="00B512C9" w:rsidRPr="003D3536">
        <w:rPr>
          <w:rFonts w:ascii="Times New Roman" w:hAnsi="Times New Roman" w:cs="Times New Roman"/>
          <w:sz w:val="24"/>
          <w:szCs w:val="24"/>
        </w:rPr>
        <w:t xml:space="preserve"> </w:t>
      </w:r>
      <w:r w:rsidR="0040322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B512C9" w:rsidRPr="003D3536">
        <w:rPr>
          <w:rFonts w:ascii="Times New Roman" w:hAnsi="Times New Roman" w:cs="Times New Roman"/>
          <w:sz w:val="24"/>
          <w:szCs w:val="24"/>
        </w:rPr>
        <w:t xml:space="preserve">0. </w:t>
      </w:r>
      <w:proofErr w:type="spellStart"/>
      <w:proofErr w:type="gramStart"/>
      <w:r w:rsidR="00B512C9" w:rsidRPr="003D353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B512C9" w:rsidRPr="003D35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512C9" w:rsidRPr="003D3536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="00B512C9"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2C9" w:rsidRPr="003D3536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="00B512C9" w:rsidRPr="003D353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B512C9" w:rsidRPr="003D353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B512C9"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2C9" w:rsidRPr="003D353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B512C9" w:rsidRPr="003D3536">
        <w:rPr>
          <w:rFonts w:ascii="Times New Roman" w:hAnsi="Times New Roman" w:cs="Times New Roman"/>
          <w:sz w:val="24"/>
          <w:szCs w:val="24"/>
        </w:rPr>
        <w:t xml:space="preserve"> РС“</w:t>
      </w:r>
      <w:r w:rsidR="004032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B512C9" w:rsidRPr="003D353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512C9" w:rsidRPr="003D3536">
        <w:rPr>
          <w:rFonts w:ascii="Times New Roman" w:hAnsi="Times New Roman" w:cs="Times New Roman"/>
          <w:sz w:val="24"/>
          <w:szCs w:val="24"/>
        </w:rPr>
        <w:t xml:space="preserve"> 129</w:t>
      </w:r>
      <w:r w:rsidR="00403220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B512C9" w:rsidRPr="003D3536">
        <w:rPr>
          <w:rFonts w:ascii="Times New Roman" w:hAnsi="Times New Roman" w:cs="Times New Roman"/>
          <w:sz w:val="24"/>
          <w:szCs w:val="24"/>
        </w:rPr>
        <w:t>07</w:t>
      </w:r>
      <w:r w:rsidR="00403220">
        <w:rPr>
          <w:rFonts w:ascii="Times New Roman" w:hAnsi="Times New Roman" w:cs="Times New Roman"/>
          <w:sz w:val="24"/>
          <w:szCs w:val="24"/>
          <w:lang w:val="sr-Cyrl-CS"/>
        </w:rPr>
        <w:t xml:space="preserve"> и 83/2014 –др. закон</w:t>
      </w:r>
      <w:r w:rsidR="00B512C9" w:rsidRPr="003D353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512C9" w:rsidRPr="003D353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B512C9" w:rsidRPr="003D3536">
        <w:rPr>
          <w:rFonts w:ascii="Times New Roman" w:hAnsi="Times New Roman" w:cs="Times New Roman"/>
          <w:sz w:val="24"/>
          <w:szCs w:val="24"/>
        </w:rPr>
        <w:t xml:space="preserve"> </w:t>
      </w:r>
      <w:r w:rsidR="00403220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403220">
        <w:rPr>
          <w:rFonts w:ascii="Times New Roman" w:hAnsi="Times New Roman" w:cs="Times New Roman"/>
          <w:sz w:val="24"/>
          <w:szCs w:val="24"/>
        </w:rPr>
        <w:t>1</w:t>
      </w:r>
      <w:r w:rsidR="00403220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="004032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512C9" w:rsidRPr="003D3536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B512C9"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2C9" w:rsidRPr="003D353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512C9"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2C9" w:rsidRPr="003D3536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B512C9"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12C9" w:rsidRPr="003D3536">
        <w:rPr>
          <w:rFonts w:ascii="Times New Roman" w:hAnsi="Times New Roman" w:cs="Times New Roman"/>
          <w:sz w:val="24"/>
          <w:szCs w:val="24"/>
        </w:rPr>
        <w:t>( „</w:t>
      </w:r>
      <w:proofErr w:type="spellStart"/>
      <w:proofErr w:type="gramEnd"/>
      <w:r w:rsidR="00B512C9" w:rsidRPr="003D353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B512C9"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2C9" w:rsidRPr="003D353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B512C9"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2C9" w:rsidRPr="003D353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512C9"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2C9" w:rsidRPr="003D3536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B512C9" w:rsidRPr="003D3536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B512C9" w:rsidRPr="003D353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03220">
        <w:rPr>
          <w:rFonts w:ascii="Times New Roman" w:hAnsi="Times New Roman" w:cs="Times New Roman"/>
          <w:sz w:val="24"/>
          <w:szCs w:val="24"/>
          <w:lang w:val="sr-Cyrl-CS"/>
        </w:rPr>
        <w:t xml:space="preserve"> 18/08</w:t>
      </w:r>
      <w:r w:rsidR="0092283B">
        <w:rPr>
          <w:rFonts w:ascii="Times New Roman" w:hAnsi="Times New Roman" w:cs="Times New Roman"/>
          <w:sz w:val="24"/>
          <w:szCs w:val="24"/>
        </w:rPr>
        <w:t>)</w:t>
      </w:r>
      <w:r w:rsidR="00B512C9" w:rsidRPr="003D35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12C9" w:rsidRPr="003D353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F230C3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="00F230C3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F230C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230C3">
        <w:rPr>
          <w:rFonts w:ascii="Times New Roman" w:hAnsi="Times New Roman" w:cs="Times New Roman"/>
          <w:sz w:val="24"/>
          <w:szCs w:val="24"/>
        </w:rPr>
        <w:t>прибављању</w:t>
      </w:r>
      <w:proofErr w:type="spellEnd"/>
      <w:r w:rsidR="00F23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30C3">
        <w:rPr>
          <w:rFonts w:ascii="Times New Roman" w:hAnsi="Times New Roman" w:cs="Times New Roman"/>
          <w:sz w:val="24"/>
          <w:szCs w:val="24"/>
        </w:rPr>
        <w:t>располагању,коришћењу</w:t>
      </w:r>
      <w:proofErr w:type="spellEnd"/>
      <w:r w:rsidR="00F230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230C3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="00F2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0C3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="00F230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230C3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="00F2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0C3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="00F2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0C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F2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0C3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 31/2015)</w:t>
      </w:r>
      <w:r w:rsidR="0092283B">
        <w:rPr>
          <w:rFonts w:ascii="Times New Roman" w:hAnsi="Times New Roman" w:cs="Times New Roman"/>
          <w:sz w:val="24"/>
          <w:szCs w:val="24"/>
          <w:lang w:val="sr-Cyrl-CS"/>
        </w:rPr>
        <w:t>, Скупштина општине Медвеђа на седници одржаној</w:t>
      </w:r>
      <w:r w:rsidR="006E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 </w:t>
      </w:r>
      <w:r w:rsidR="0092283B">
        <w:rPr>
          <w:rFonts w:ascii="Times New Roman" w:hAnsi="Times New Roman" w:cs="Times New Roman"/>
          <w:sz w:val="24"/>
          <w:szCs w:val="24"/>
          <w:lang w:val="sr-Cyrl-CS"/>
        </w:rPr>
        <w:t>13. септембра 2016. године,</w:t>
      </w:r>
      <w:r w:rsidR="006E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6F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B512C9" w:rsidRPr="003D3536" w:rsidRDefault="00B512C9" w:rsidP="00B51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536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B512C9" w:rsidRPr="003D3536" w:rsidRDefault="00C96759" w:rsidP="00B51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УТВРЂИВАЊУ ЗАКУПНИНЕ,</w:t>
      </w:r>
      <w:r w:rsidR="008F41B3">
        <w:rPr>
          <w:rFonts w:ascii="Times New Roman" w:hAnsi="Times New Roman" w:cs="Times New Roman"/>
          <w:b/>
          <w:sz w:val="24"/>
          <w:szCs w:val="24"/>
        </w:rPr>
        <w:t xml:space="preserve"> НАКНАДЕ ЗА КОРИШЋЕЊЕ ПОСЛОВНОГ</w:t>
      </w:r>
      <w:r w:rsidR="00B512C9" w:rsidRPr="003D3536">
        <w:rPr>
          <w:rFonts w:ascii="Times New Roman" w:hAnsi="Times New Roman" w:cs="Times New Roman"/>
          <w:b/>
          <w:sz w:val="24"/>
          <w:szCs w:val="24"/>
        </w:rPr>
        <w:t xml:space="preserve"> ПРОСТОР</w:t>
      </w:r>
      <w:r w:rsidR="008F41B3">
        <w:rPr>
          <w:rFonts w:ascii="Times New Roman" w:hAnsi="Times New Roman" w:cs="Times New Roman"/>
          <w:b/>
          <w:sz w:val="24"/>
          <w:szCs w:val="24"/>
        </w:rPr>
        <w:t>А</w:t>
      </w:r>
      <w:r w:rsidR="00B512C9" w:rsidRPr="003D3536">
        <w:rPr>
          <w:rFonts w:ascii="Times New Roman" w:hAnsi="Times New Roman" w:cs="Times New Roman"/>
          <w:b/>
          <w:sz w:val="24"/>
          <w:szCs w:val="24"/>
        </w:rPr>
        <w:t xml:space="preserve"> НА КОМЕ ЈЕ НОСИЛАЦ ПРАВА </w:t>
      </w:r>
      <w:r w:rsidR="00B512C9" w:rsidRPr="0057282C">
        <w:rPr>
          <w:rFonts w:ascii="Times New Roman" w:hAnsi="Times New Roman" w:cs="Times New Roman"/>
          <w:b/>
          <w:sz w:val="24"/>
          <w:szCs w:val="24"/>
        </w:rPr>
        <w:t>РАСПОЛАГАЊА И</w:t>
      </w:r>
      <w:r w:rsidR="00B512C9" w:rsidRPr="003D3536">
        <w:rPr>
          <w:rFonts w:ascii="Times New Roman" w:hAnsi="Times New Roman" w:cs="Times New Roman"/>
          <w:b/>
          <w:sz w:val="24"/>
          <w:szCs w:val="24"/>
        </w:rPr>
        <w:t xml:space="preserve"> КОРИШЋЕЊА ОПШТИНА МЕДВЕЂА</w:t>
      </w:r>
    </w:p>
    <w:p w:rsidR="00B512C9" w:rsidRPr="003D3536" w:rsidRDefault="00B512C9" w:rsidP="00B51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536">
        <w:rPr>
          <w:rFonts w:ascii="Times New Roman" w:hAnsi="Times New Roman" w:cs="Times New Roman"/>
          <w:sz w:val="24"/>
          <w:szCs w:val="24"/>
        </w:rPr>
        <w:t>Члан 1.</w:t>
      </w:r>
    </w:p>
    <w:p w:rsidR="00B512C9" w:rsidRPr="003D3536" w:rsidRDefault="00B512C9" w:rsidP="00B512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утврђују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закупа</w:t>
      </w:r>
      <w:proofErr w:type="spellEnd"/>
      <w:r w:rsidR="008F41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8F41B3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="008F41B3">
        <w:rPr>
          <w:rFonts w:ascii="Times New Roman" w:hAnsi="Times New Roman" w:cs="Times New Roman"/>
          <w:sz w:val="24"/>
          <w:szCs w:val="24"/>
        </w:rPr>
        <w:t xml:space="preserve"> </w:t>
      </w:r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="0057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82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7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82C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носилац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располагања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>.</w:t>
      </w:r>
    </w:p>
    <w:p w:rsidR="00B512C9" w:rsidRPr="003D3536" w:rsidRDefault="00B512C9" w:rsidP="00B51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536">
        <w:rPr>
          <w:rFonts w:ascii="Times New Roman" w:hAnsi="Times New Roman" w:cs="Times New Roman"/>
          <w:sz w:val="24"/>
          <w:szCs w:val="24"/>
        </w:rPr>
        <w:t>Члан 2.</w:t>
      </w:r>
    </w:p>
    <w:p w:rsidR="00B512C9" w:rsidRPr="003D3536" w:rsidRDefault="00B512C9" w:rsidP="00B512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Закупнина</w:t>
      </w:r>
      <w:proofErr w:type="spellEnd"/>
      <w:r w:rsidR="0057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82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57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82C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="0057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82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7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282C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57282C">
        <w:rPr>
          <w:rFonts w:ascii="Times New Roman" w:hAnsi="Times New Roman" w:cs="Times New Roman"/>
          <w:sz w:val="24"/>
          <w:szCs w:val="24"/>
        </w:rPr>
        <w:t xml:space="preserve"> </w:t>
      </w:r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пословних</w:t>
      </w:r>
      <w:proofErr w:type="spellEnd"/>
      <w:proofErr w:type="gram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просторија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м2, </w:t>
      </w:r>
      <w:proofErr w:type="spellStart"/>
      <w:r w:rsidR="0057282C">
        <w:rPr>
          <w:rFonts w:ascii="Times New Roman" w:hAnsi="Times New Roman" w:cs="Times New Roman"/>
          <w:sz w:val="24"/>
          <w:szCs w:val="24"/>
        </w:rPr>
        <w:t>з</w:t>
      </w:r>
      <w:r w:rsidRPr="003D353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делатнос</w:t>
      </w:r>
      <w:r w:rsidR="008F41B3">
        <w:rPr>
          <w:rFonts w:ascii="Times New Roman" w:hAnsi="Times New Roman" w:cs="Times New Roman"/>
          <w:sz w:val="24"/>
          <w:szCs w:val="24"/>
        </w:rPr>
        <w:t>т</w:t>
      </w:r>
      <w:r w:rsidRPr="003D353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простору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>.</w:t>
      </w:r>
    </w:p>
    <w:p w:rsidR="00B512C9" w:rsidRPr="003D3536" w:rsidRDefault="00B512C9" w:rsidP="00B51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536">
        <w:rPr>
          <w:rFonts w:ascii="Times New Roman" w:hAnsi="Times New Roman" w:cs="Times New Roman"/>
          <w:sz w:val="24"/>
          <w:szCs w:val="24"/>
        </w:rPr>
        <w:t>Члан 3.</w:t>
      </w:r>
    </w:p>
    <w:p w:rsidR="00B512C9" w:rsidRDefault="00B512C9" w:rsidP="00B512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Закупнина</w:t>
      </w:r>
      <w:proofErr w:type="spellEnd"/>
      <w:r w:rsidR="0057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82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57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82C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="0057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82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7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82C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57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82C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57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82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7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износима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10314" w:type="dxa"/>
        <w:tblLook w:val="04A0"/>
      </w:tblPr>
      <w:tblGrid>
        <w:gridCol w:w="2660"/>
        <w:gridCol w:w="1275"/>
        <w:gridCol w:w="1276"/>
        <w:gridCol w:w="1276"/>
        <w:gridCol w:w="1276"/>
        <w:gridCol w:w="1276"/>
        <w:gridCol w:w="1275"/>
      </w:tblGrid>
      <w:tr w:rsidR="00A77765" w:rsidTr="005C5DB3">
        <w:tc>
          <w:tcPr>
            <w:tcW w:w="2660" w:type="dxa"/>
          </w:tcPr>
          <w:p w:rsidR="00A77765" w:rsidRDefault="00A77765" w:rsidP="00B51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536">
              <w:rPr>
                <w:rFonts w:ascii="Times New Roman" w:hAnsi="Times New Roman" w:cs="Times New Roman"/>
                <w:b/>
              </w:rPr>
              <w:t>Делатност</w:t>
            </w:r>
            <w:proofErr w:type="spellEnd"/>
            <w:r w:rsidRPr="003D353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654" w:type="dxa"/>
            <w:gridSpan w:val="6"/>
          </w:tcPr>
          <w:p w:rsidR="00A77765" w:rsidRDefault="00A77765" w:rsidP="00A7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536">
              <w:rPr>
                <w:rFonts w:ascii="Times New Roman" w:hAnsi="Times New Roman" w:cs="Times New Roman"/>
                <w:b/>
                <w:sz w:val="20"/>
                <w:szCs w:val="20"/>
              </w:rPr>
              <w:t>зоне</w:t>
            </w:r>
            <w:proofErr w:type="spellEnd"/>
          </w:p>
        </w:tc>
      </w:tr>
      <w:tr w:rsidR="00A77765" w:rsidTr="005C5DB3">
        <w:tc>
          <w:tcPr>
            <w:tcW w:w="2660" w:type="dxa"/>
          </w:tcPr>
          <w:p w:rsidR="00A77765" w:rsidRPr="00CE3474" w:rsidRDefault="00A77765" w:rsidP="00B512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765" w:rsidRDefault="00A77765" w:rsidP="00D2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536">
              <w:rPr>
                <w:rFonts w:ascii="Times New Roman" w:hAnsi="Times New Roman" w:cs="Times New Roman"/>
                <w:b/>
                <w:sz w:val="18"/>
                <w:szCs w:val="18"/>
              </w:rPr>
              <w:t>Прва</w:t>
            </w:r>
            <w:proofErr w:type="spellEnd"/>
          </w:p>
        </w:tc>
        <w:tc>
          <w:tcPr>
            <w:tcW w:w="1276" w:type="dxa"/>
          </w:tcPr>
          <w:p w:rsidR="00A77765" w:rsidRDefault="00A77765" w:rsidP="00D2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536">
              <w:rPr>
                <w:rFonts w:ascii="Times New Roman" w:hAnsi="Times New Roman" w:cs="Times New Roman"/>
                <w:b/>
                <w:sz w:val="18"/>
                <w:szCs w:val="18"/>
              </w:rPr>
              <w:t>друга</w:t>
            </w:r>
            <w:proofErr w:type="spellEnd"/>
          </w:p>
        </w:tc>
        <w:tc>
          <w:tcPr>
            <w:tcW w:w="1276" w:type="dxa"/>
          </w:tcPr>
          <w:p w:rsidR="00A77765" w:rsidRDefault="00A77765" w:rsidP="00D2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536">
              <w:rPr>
                <w:rFonts w:ascii="Times New Roman" w:hAnsi="Times New Roman" w:cs="Times New Roman"/>
                <w:b/>
                <w:sz w:val="18"/>
                <w:szCs w:val="18"/>
              </w:rPr>
              <w:t>трећа</w:t>
            </w:r>
            <w:proofErr w:type="spellEnd"/>
          </w:p>
        </w:tc>
        <w:tc>
          <w:tcPr>
            <w:tcW w:w="1276" w:type="dxa"/>
          </w:tcPr>
          <w:p w:rsidR="00A77765" w:rsidRDefault="00A77765" w:rsidP="00D2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536">
              <w:rPr>
                <w:rFonts w:ascii="Times New Roman" w:hAnsi="Times New Roman" w:cs="Times New Roman"/>
                <w:b/>
                <w:sz w:val="18"/>
                <w:szCs w:val="18"/>
              </w:rPr>
              <w:t>четврта</w:t>
            </w:r>
            <w:proofErr w:type="spellEnd"/>
          </w:p>
        </w:tc>
        <w:tc>
          <w:tcPr>
            <w:tcW w:w="1276" w:type="dxa"/>
          </w:tcPr>
          <w:p w:rsidR="00A77765" w:rsidRDefault="00A77765" w:rsidP="00D2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536">
              <w:rPr>
                <w:rFonts w:ascii="Times New Roman" w:hAnsi="Times New Roman" w:cs="Times New Roman"/>
                <w:b/>
                <w:sz w:val="18"/>
                <w:szCs w:val="18"/>
              </w:rPr>
              <w:t>пета</w:t>
            </w:r>
            <w:proofErr w:type="spellEnd"/>
          </w:p>
        </w:tc>
        <w:tc>
          <w:tcPr>
            <w:tcW w:w="1275" w:type="dxa"/>
          </w:tcPr>
          <w:p w:rsidR="00A77765" w:rsidRDefault="00A77765" w:rsidP="00D2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536">
              <w:rPr>
                <w:rFonts w:ascii="Times New Roman" w:hAnsi="Times New Roman" w:cs="Times New Roman"/>
                <w:b/>
                <w:sz w:val="18"/>
                <w:szCs w:val="18"/>
              </w:rPr>
              <w:t>шеста</w:t>
            </w:r>
            <w:proofErr w:type="spellEnd"/>
          </w:p>
        </w:tc>
      </w:tr>
      <w:tr w:rsidR="00A77765" w:rsidTr="005C5DB3">
        <w:tc>
          <w:tcPr>
            <w:tcW w:w="2660" w:type="dxa"/>
          </w:tcPr>
          <w:p w:rsidR="00945BA9" w:rsidRDefault="00945BA9" w:rsidP="00B512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C164B9" w:rsidRDefault="00A77765" w:rsidP="00B51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а) </w:t>
            </w:r>
            <w:proofErr w:type="spellStart"/>
            <w:r w:rsidRPr="00C164B9">
              <w:rPr>
                <w:rFonts w:ascii="Times New Roman" w:hAnsi="Times New Roman" w:cs="Times New Roman"/>
                <w:b/>
                <w:sz w:val="18"/>
                <w:szCs w:val="18"/>
              </w:rPr>
              <w:t>канцеларије</w:t>
            </w:r>
            <w:proofErr w:type="spellEnd"/>
          </w:p>
        </w:tc>
        <w:tc>
          <w:tcPr>
            <w:tcW w:w="1275" w:type="dxa"/>
          </w:tcPr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Default="00A77765" w:rsidP="0092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2283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</w:t>
            </w:r>
            <w:r w:rsidR="0092283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2283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Default="00EB3660" w:rsidP="00EB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79</w:t>
            </w:r>
            <w:r w:rsidR="00A7776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31</w:t>
            </w:r>
          </w:p>
        </w:tc>
        <w:tc>
          <w:tcPr>
            <w:tcW w:w="1276" w:type="dxa"/>
          </w:tcPr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EB3660" w:rsidRDefault="00EB3660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55,52</w:t>
            </w:r>
          </w:p>
        </w:tc>
        <w:tc>
          <w:tcPr>
            <w:tcW w:w="1276" w:type="dxa"/>
          </w:tcPr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EB3660" w:rsidRDefault="00EB3660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38,86</w:t>
            </w:r>
          </w:p>
        </w:tc>
        <w:tc>
          <w:tcPr>
            <w:tcW w:w="1276" w:type="dxa"/>
          </w:tcPr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EB3660" w:rsidRDefault="00EB3660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27,20</w:t>
            </w:r>
          </w:p>
        </w:tc>
        <w:tc>
          <w:tcPr>
            <w:tcW w:w="1275" w:type="dxa"/>
          </w:tcPr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EB3660" w:rsidRDefault="00EB3660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19,04</w:t>
            </w:r>
          </w:p>
        </w:tc>
      </w:tr>
      <w:tr w:rsidR="00A77765" w:rsidTr="005C5DB3">
        <w:tc>
          <w:tcPr>
            <w:tcW w:w="2660" w:type="dxa"/>
          </w:tcPr>
          <w:p w:rsidR="00A77765" w:rsidRPr="00CE3474" w:rsidRDefault="00945BA9" w:rsidP="00A77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a1)</w:t>
            </w:r>
            <w:proofErr w:type="spellStart"/>
            <w:r w:rsidR="00A77765" w:rsidRPr="00CE3474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="00A77765" w:rsidRPr="00CE34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77765" w:rsidRPr="00CE3474">
              <w:rPr>
                <w:rFonts w:ascii="Times New Roman" w:hAnsi="Times New Roman" w:cs="Times New Roman"/>
                <w:sz w:val="18"/>
                <w:szCs w:val="18"/>
              </w:rPr>
              <w:t>делатност</w:t>
            </w:r>
            <w:proofErr w:type="spellEnd"/>
            <w:r w:rsidR="00A77765" w:rsidRPr="00CE34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77765" w:rsidRPr="00CE3474">
              <w:rPr>
                <w:rFonts w:ascii="Times New Roman" w:hAnsi="Times New Roman" w:cs="Times New Roman"/>
                <w:sz w:val="18"/>
                <w:szCs w:val="18"/>
              </w:rPr>
              <w:t>које</w:t>
            </w:r>
            <w:proofErr w:type="spellEnd"/>
            <w:r w:rsidR="00A77765" w:rsidRPr="00CE34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77765" w:rsidRPr="00CE3474">
              <w:rPr>
                <w:rFonts w:ascii="Times New Roman" w:hAnsi="Times New Roman" w:cs="Times New Roman"/>
                <w:sz w:val="18"/>
                <w:szCs w:val="18"/>
              </w:rPr>
              <w:t>се</w:t>
            </w:r>
            <w:proofErr w:type="spellEnd"/>
            <w:r w:rsidR="00A77765" w:rsidRPr="00CE3474">
              <w:rPr>
                <w:rFonts w:ascii="Times New Roman" w:hAnsi="Times New Roman" w:cs="Times New Roman"/>
                <w:sz w:val="18"/>
                <w:szCs w:val="18"/>
              </w:rPr>
              <w:t xml:space="preserve"> финансирају из</w:t>
            </w:r>
          </w:p>
          <w:p w:rsidR="00A77765" w:rsidRPr="00CE3474" w:rsidRDefault="00A77765" w:rsidP="00A77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Буџета</w:t>
            </w:r>
            <w:proofErr w:type="spellEnd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здравство</w:t>
            </w:r>
            <w:proofErr w:type="spellEnd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490F20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цијалана</w:t>
            </w:r>
            <w:proofErr w:type="spellEnd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заштита</w:t>
            </w:r>
            <w:proofErr w:type="spellEnd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A77765" w:rsidRDefault="00A77765" w:rsidP="00A77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Наука</w:t>
            </w:r>
            <w:proofErr w:type="spellEnd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култура</w:t>
            </w:r>
            <w:proofErr w:type="spellEnd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образовање</w:t>
            </w:r>
            <w:proofErr w:type="spellEnd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итд</w:t>
            </w:r>
            <w:proofErr w:type="spellEnd"/>
          </w:p>
        </w:tc>
        <w:tc>
          <w:tcPr>
            <w:tcW w:w="1275" w:type="dxa"/>
          </w:tcPr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B01F8A" w:rsidRDefault="00B01F8A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56,65</w:t>
            </w:r>
          </w:p>
        </w:tc>
        <w:tc>
          <w:tcPr>
            <w:tcW w:w="1276" w:type="dxa"/>
          </w:tcPr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B01F8A" w:rsidRDefault="00B01F8A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39,66</w:t>
            </w:r>
          </w:p>
        </w:tc>
        <w:tc>
          <w:tcPr>
            <w:tcW w:w="1276" w:type="dxa"/>
          </w:tcPr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Default="00945BA9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43,37</w:t>
            </w:r>
          </w:p>
        </w:tc>
        <w:tc>
          <w:tcPr>
            <w:tcW w:w="1276" w:type="dxa"/>
          </w:tcPr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Default="00945BA9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30,36</w:t>
            </w:r>
          </w:p>
        </w:tc>
        <w:tc>
          <w:tcPr>
            <w:tcW w:w="1276" w:type="dxa"/>
          </w:tcPr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Default="00945BA9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21,25</w:t>
            </w:r>
          </w:p>
        </w:tc>
        <w:tc>
          <w:tcPr>
            <w:tcW w:w="1275" w:type="dxa"/>
          </w:tcPr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Default="00945BA9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14,87</w:t>
            </w:r>
          </w:p>
        </w:tc>
      </w:tr>
      <w:tr w:rsidR="00945BA9" w:rsidTr="005C5DB3">
        <w:tc>
          <w:tcPr>
            <w:tcW w:w="2660" w:type="dxa"/>
          </w:tcPr>
          <w:p w:rsidR="00945BA9" w:rsidRPr="00CE3474" w:rsidRDefault="00945BA9" w:rsidP="00A77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a2)</w:t>
            </w:r>
            <w:r w:rsidRPr="00CE34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делатност</w:t>
            </w:r>
            <w:proofErr w:type="spellEnd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spellStart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политичке</w:t>
            </w:r>
            <w:proofErr w:type="spellEnd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стране</w:t>
            </w:r>
            <w:proofErr w:type="spellEnd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45BA9" w:rsidRPr="00A77765" w:rsidRDefault="00945BA9" w:rsidP="00B512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E3474">
              <w:rPr>
                <w:rFonts w:ascii="Times New Roman" w:hAnsi="Times New Roman" w:cs="Times New Roman"/>
                <w:sz w:val="18"/>
                <w:szCs w:val="18"/>
              </w:rPr>
              <w:t xml:space="preserve">дружења грађана, друштвене орг. </w:t>
            </w:r>
            <w:proofErr w:type="gramStart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607D35" w:rsidRDefault="00607D35" w:rsidP="00C77D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Pr="00B01F8A" w:rsidRDefault="00B01F8A" w:rsidP="00C77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113,30</w:t>
            </w:r>
          </w:p>
        </w:tc>
        <w:tc>
          <w:tcPr>
            <w:tcW w:w="1276" w:type="dxa"/>
          </w:tcPr>
          <w:p w:rsidR="00607D35" w:rsidRDefault="00607D35" w:rsidP="00C77D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Pr="00BE75B3" w:rsidRDefault="00BE75B3" w:rsidP="00C77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79,31</w:t>
            </w:r>
          </w:p>
        </w:tc>
        <w:tc>
          <w:tcPr>
            <w:tcW w:w="1276" w:type="dxa"/>
          </w:tcPr>
          <w:p w:rsidR="00607D35" w:rsidRDefault="00607D35" w:rsidP="00C77D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Pr="00BE75B3" w:rsidRDefault="00BE75B3" w:rsidP="00C77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55,52</w:t>
            </w:r>
          </w:p>
        </w:tc>
        <w:tc>
          <w:tcPr>
            <w:tcW w:w="1276" w:type="dxa"/>
          </w:tcPr>
          <w:p w:rsidR="00607D35" w:rsidRDefault="00607D35" w:rsidP="00C77D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Pr="00BE75B3" w:rsidRDefault="00BE75B3" w:rsidP="00C77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38,86</w:t>
            </w:r>
          </w:p>
        </w:tc>
        <w:tc>
          <w:tcPr>
            <w:tcW w:w="1276" w:type="dxa"/>
          </w:tcPr>
          <w:p w:rsidR="00607D35" w:rsidRDefault="00607D35" w:rsidP="00C77D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Pr="00BE75B3" w:rsidRDefault="00BE75B3" w:rsidP="00C77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27,20</w:t>
            </w:r>
          </w:p>
        </w:tc>
        <w:tc>
          <w:tcPr>
            <w:tcW w:w="1275" w:type="dxa"/>
          </w:tcPr>
          <w:p w:rsidR="00607D35" w:rsidRDefault="00607D35" w:rsidP="00C77D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Pr="00BE75B3" w:rsidRDefault="00BE75B3" w:rsidP="00C77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19,40</w:t>
            </w:r>
          </w:p>
        </w:tc>
      </w:tr>
      <w:tr w:rsidR="00A77765" w:rsidTr="005C5DB3">
        <w:tc>
          <w:tcPr>
            <w:tcW w:w="2660" w:type="dxa"/>
          </w:tcPr>
          <w:p w:rsidR="00607D35" w:rsidRDefault="00607D35" w:rsidP="00B512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Default="00945BA9" w:rsidP="00B51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74">
              <w:rPr>
                <w:rFonts w:ascii="Times New Roman" w:hAnsi="Times New Roman" w:cs="Times New Roman"/>
                <w:sz w:val="18"/>
                <w:szCs w:val="18"/>
              </w:rPr>
              <w:t xml:space="preserve">б) </w:t>
            </w:r>
            <w:proofErr w:type="spellStart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локали</w:t>
            </w:r>
            <w:proofErr w:type="spellEnd"/>
          </w:p>
        </w:tc>
        <w:tc>
          <w:tcPr>
            <w:tcW w:w="1275" w:type="dxa"/>
          </w:tcPr>
          <w:p w:rsidR="00607D35" w:rsidRDefault="00607D35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BE75B3" w:rsidRDefault="00BE75B3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147,29</w:t>
            </w:r>
          </w:p>
        </w:tc>
        <w:tc>
          <w:tcPr>
            <w:tcW w:w="1276" w:type="dxa"/>
          </w:tcPr>
          <w:p w:rsidR="00607D35" w:rsidRDefault="00607D35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BE75B3" w:rsidRDefault="00BE75B3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103,10</w:t>
            </w:r>
          </w:p>
        </w:tc>
        <w:tc>
          <w:tcPr>
            <w:tcW w:w="1276" w:type="dxa"/>
          </w:tcPr>
          <w:p w:rsidR="00607D35" w:rsidRDefault="00607D35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BE75B3" w:rsidRDefault="00BE75B3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72,17</w:t>
            </w:r>
          </w:p>
        </w:tc>
        <w:tc>
          <w:tcPr>
            <w:tcW w:w="1276" w:type="dxa"/>
          </w:tcPr>
          <w:p w:rsidR="00607D35" w:rsidRDefault="00607D35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BE75B3" w:rsidRDefault="00BE75B3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50,52</w:t>
            </w:r>
          </w:p>
        </w:tc>
        <w:tc>
          <w:tcPr>
            <w:tcW w:w="1276" w:type="dxa"/>
          </w:tcPr>
          <w:p w:rsidR="00607D35" w:rsidRDefault="00607D35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BE75B3" w:rsidRDefault="00BE75B3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35,36</w:t>
            </w:r>
          </w:p>
        </w:tc>
        <w:tc>
          <w:tcPr>
            <w:tcW w:w="1275" w:type="dxa"/>
          </w:tcPr>
          <w:p w:rsidR="00607D35" w:rsidRDefault="00607D35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BE75B3" w:rsidRDefault="00BE75B3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24,76</w:t>
            </w:r>
          </w:p>
        </w:tc>
      </w:tr>
      <w:tr w:rsidR="00A77765" w:rsidTr="005C5DB3">
        <w:tc>
          <w:tcPr>
            <w:tcW w:w="2660" w:type="dxa"/>
          </w:tcPr>
          <w:p w:rsidR="00C30C1C" w:rsidRDefault="00C30C1C" w:rsidP="00B512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Default="00DE23B3" w:rsidP="00B51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маг</w:t>
            </w:r>
            <w:r w:rsidR="00945BA9" w:rsidRPr="00CE3474">
              <w:rPr>
                <w:rFonts w:ascii="Times New Roman" w:hAnsi="Times New Roman" w:cs="Times New Roman"/>
                <w:sz w:val="18"/>
                <w:szCs w:val="18"/>
              </w:rPr>
              <w:t>ацини</w:t>
            </w:r>
            <w:proofErr w:type="spellEnd"/>
          </w:p>
        </w:tc>
        <w:tc>
          <w:tcPr>
            <w:tcW w:w="1275" w:type="dxa"/>
          </w:tcPr>
          <w:p w:rsidR="00C30C1C" w:rsidRDefault="00C30C1C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5D5062" w:rsidRDefault="005D5062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79,31</w:t>
            </w:r>
          </w:p>
        </w:tc>
        <w:tc>
          <w:tcPr>
            <w:tcW w:w="1276" w:type="dxa"/>
          </w:tcPr>
          <w:p w:rsidR="00C30C1C" w:rsidRDefault="00C30C1C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5D5062" w:rsidRDefault="005D5062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55,52</w:t>
            </w:r>
          </w:p>
        </w:tc>
        <w:tc>
          <w:tcPr>
            <w:tcW w:w="1276" w:type="dxa"/>
          </w:tcPr>
          <w:p w:rsidR="00C30C1C" w:rsidRDefault="00C30C1C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5D5062" w:rsidRDefault="005D5062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38,86</w:t>
            </w:r>
          </w:p>
        </w:tc>
        <w:tc>
          <w:tcPr>
            <w:tcW w:w="1276" w:type="dxa"/>
          </w:tcPr>
          <w:p w:rsidR="00C30C1C" w:rsidRDefault="00C30C1C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5D5062" w:rsidRDefault="005D5062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27,20</w:t>
            </w:r>
          </w:p>
        </w:tc>
        <w:tc>
          <w:tcPr>
            <w:tcW w:w="1276" w:type="dxa"/>
          </w:tcPr>
          <w:p w:rsidR="00C30C1C" w:rsidRDefault="00C30C1C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C33829" w:rsidRDefault="00C33829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19,04</w:t>
            </w:r>
          </w:p>
        </w:tc>
        <w:tc>
          <w:tcPr>
            <w:tcW w:w="1275" w:type="dxa"/>
          </w:tcPr>
          <w:p w:rsidR="00C30C1C" w:rsidRDefault="00C30C1C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C33829" w:rsidRDefault="00C33829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13,33</w:t>
            </w:r>
          </w:p>
        </w:tc>
      </w:tr>
      <w:tr w:rsidR="00A77765" w:rsidTr="005C5DB3">
        <w:tc>
          <w:tcPr>
            <w:tcW w:w="2660" w:type="dxa"/>
          </w:tcPr>
          <w:p w:rsidR="00C30C1C" w:rsidRDefault="00C30C1C" w:rsidP="00B512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Default="00945BA9" w:rsidP="00B51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74">
              <w:rPr>
                <w:rFonts w:ascii="Times New Roman" w:hAnsi="Times New Roman" w:cs="Times New Roman"/>
                <w:sz w:val="18"/>
                <w:szCs w:val="18"/>
              </w:rPr>
              <w:t xml:space="preserve">г) </w:t>
            </w:r>
            <w:proofErr w:type="spellStart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занатска</w:t>
            </w:r>
            <w:proofErr w:type="spellEnd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делатност</w:t>
            </w:r>
            <w:proofErr w:type="spellEnd"/>
          </w:p>
        </w:tc>
        <w:tc>
          <w:tcPr>
            <w:tcW w:w="1275" w:type="dxa"/>
          </w:tcPr>
          <w:p w:rsidR="00C30C1C" w:rsidRDefault="00C30C1C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8D2BA2" w:rsidRDefault="008D2BA2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101,97</w:t>
            </w:r>
          </w:p>
        </w:tc>
        <w:tc>
          <w:tcPr>
            <w:tcW w:w="1276" w:type="dxa"/>
          </w:tcPr>
          <w:p w:rsidR="00C30C1C" w:rsidRDefault="00C30C1C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277912" w:rsidRDefault="00277912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71,38</w:t>
            </w:r>
          </w:p>
        </w:tc>
        <w:tc>
          <w:tcPr>
            <w:tcW w:w="1276" w:type="dxa"/>
          </w:tcPr>
          <w:p w:rsidR="00C30C1C" w:rsidRDefault="00C30C1C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277912" w:rsidRDefault="00277912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49,97</w:t>
            </w:r>
          </w:p>
        </w:tc>
        <w:tc>
          <w:tcPr>
            <w:tcW w:w="1276" w:type="dxa"/>
          </w:tcPr>
          <w:p w:rsidR="00C30C1C" w:rsidRDefault="00C30C1C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F979F0" w:rsidRDefault="00F979F0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34,98</w:t>
            </w:r>
          </w:p>
        </w:tc>
        <w:tc>
          <w:tcPr>
            <w:tcW w:w="1276" w:type="dxa"/>
          </w:tcPr>
          <w:p w:rsidR="00C30C1C" w:rsidRDefault="00C30C1C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F979F0" w:rsidRDefault="00F979F0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24,48</w:t>
            </w:r>
          </w:p>
        </w:tc>
        <w:tc>
          <w:tcPr>
            <w:tcW w:w="1275" w:type="dxa"/>
          </w:tcPr>
          <w:p w:rsidR="00C30C1C" w:rsidRDefault="00C30C1C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765" w:rsidRPr="00F979F0" w:rsidRDefault="00F979F0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17,14</w:t>
            </w:r>
          </w:p>
        </w:tc>
      </w:tr>
      <w:tr w:rsidR="00945BA9" w:rsidTr="005C5DB3">
        <w:trPr>
          <w:trHeight w:val="298"/>
        </w:trPr>
        <w:tc>
          <w:tcPr>
            <w:tcW w:w="2660" w:type="dxa"/>
          </w:tcPr>
          <w:p w:rsidR="00945BA9" w:rsidRDefault="00945BA9" w:rsidP="00945B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Pr="00CE3474" w:rsidRDefault="00945BA9" w:rsidP="0094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74">
              <w:rPr>
                <w:rFonts w:ascii="Times New Roman" w:hAnsi="Times New Roman" w:cs="Times New Roman"/>
                <w:sz w:val="18"/>
                <w:szCs w:val="18"/>
              </w:rPr>
              <w:t xml:space="preserve">д) </w:t>
            </w:r>
            <w:proofErr w:type="spellStart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витрине</w:t>
            </w:r>
            <w:proofErr w:type="spellEnd"/>
          </w:p>
        </w:tc>
        <w:tc>
          <w:tcPr>
            <w:tcW w:w="1275" w:type="dxa"/>
          </w:tcPr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Pr="00F979F0" w:rsidRDefault="00F979F0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56,65</w:t>
            </w:r>
          </w:p>
        </w:tc>
        <w:tc>
          <w:tcPr>
            <w:tcW w:w="1276" w:type="dxa"/>
          </w:tcPr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Pr="00F979F0" w:rsidRDefault="00F979F0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39,66</w:t>
            </w:r>
          </w:p>
        </w:tc>
        <w:tc>
          <w:tcPr>
            <w:tcW w:w="1276" w:type="dxa"/>
          </w:tcPr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43,37</w:t>
            </w:r>
          </w:p>
        </w:tc>
        <w:tc>
          <w:tcPr>
            <w:tcW w:w="1276" w:type="dxa"/>
          </w:tcPr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30,36</w:t>
            </w:r>
          </w:p>
        </w:tc>
        <w:tc>
          <w:tcPr>
            <w:tcW w:w="1276" w:type="dxa"/>
          </w:tcPr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21,25</w:t>
            </w:r>
          </w:p>
        </w:tc>
        <w:tc>
          <w:tcPr>
            <w:tcW w:w="1275" w:type="dxa"/>
          </w:tcPr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Default="00945BA9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14,87</w:t>
            </w:r>
          </w:p>
        </w:tc>
      </w:tr>
      <w:tr w:rsidR="00945BA9" w:rsidTr="005C5DB3">
        <w:tc>
          <w:tcPr>
            <w:tcW w:w="2660" w:type="dxa"/>
          </w:tcPr>
          <w:p w:rsidR="00945BA9" w:rsidRDefault="00945BA9" w:rsidP="00B512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Pr="00CE3474" w:rsidRDefault="00945BA9" w:rsidP="00B512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ђ)</w:t>
            </w:r>
            <w:proofErr w:type="spellStart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производне</w:t>
            </w:r>
            <w:proofErr w:type="spellEnd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хале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1275" w:type="dxa"/>
          </w:tcPr>
          <w:p w:rsidR="00945BA9" w:rsidRDefault="00945BA9" w:rsidP="00C77D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Pr="00492568" w:rsidRDefault="00492568" w:rsidP="00C77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56,65</w:t>
            </w:r>
          </w:p>
        </w:tc>
        <w:tc>
          <w:tcPr>
            <w:tcW w:w="1276" w:type="dxa"/>
          </w:tcPr>
          <w:p w:rsidR="00945BA9" w:rsidRDefault="00945BA9" w:rsidP="00C77D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Pr="00492568" w:rsidRDefault="00492568" w:rsidP="00C77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39,66</w:t>
            </w:r>
          </w:p>
        </w:tc>
        <w:tc>
          <w:tcPr>
            <w:tcW w:w="1276" w:type="dxa"/>
          </w:tcPr>
          <w:p w:rsidR="00945BA9" w:rsidRDefault="00945BA9" w:rsidP="00C77D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Default="00945BA9" w:rsidP="00C7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43,37</w:t>
            </w:r>
          </w:p>
        </w:tc>
        <w:tc>
          <w:tcPr>
            <w:tcW w:w="1276" w:type="dxa"/>
          </w:tcPr>
          <w:p w:rsidR="00945BA9" w:rsidRDefault="00945BA9" w:rsidP="00C77D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Default="00945BA9" w:rsidP="00C7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30,36</w:t>
            </w:r>
          </w:p>
        </w:tc>
        <w:tc>
          <w:tcPr>
            <w:tcW w:w="1276" w:type="dxa"/>
          </w:tcPr>
          <w:p w:rsidR="00945BA9" w:rsidRDefault="00945BA9" w:rsidP="00C77D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Default="00945BA9" w:rsidP="00C7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21,25</w:t>
            </w:r>
          </w:p>
        </w:tc>
        <w:tc>
          <w:tcPr>
            <w:tcW w:w="1275" w:type="dxa"/>
          </w:tcPr>
          <w:p w:rsidR="00945BA9" w:rsidRDefault="00945BA9" w:rsidP="00C77D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Default="00945BA9" w:rsidP="00C7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14,87</w:t>
            </w:r>
          </w:p>
        </w:tc>
      </w:tr>
      <w:tr w:rsidR="00945BA9" w:rsidTr="005C5DB3">
        <w:tc>
          <w:tcPr>
            <w:tcW w:w="2660" w:type="dxa"/>
          </w:tcPr>
          <w:p w:rsidR="00C30C1C" w:rsidRDefault="00C30C1C" w:rsidP="00B512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Pr="00CE3474" w:rsidRDefault="00945BA9" w:rsidP="00B512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е)</w:t>
            </w:r>
            <w:proofErr w:type="spellStart"/>
            <w:r w:rsidRPr="00CE3474">
              <w:rPr>
                <w:rFonts w:ascii="Times New Roman" w:hAnsi="Times New Roman" w:cs="Times New Roman"/>
                <w:sz w:val="18"/>
                <w:szCs w:val="18"/>
              </w:rPr>
              <w:t>гараже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75" w:type="dxa"/>
          </w:tcPr>
          <w:p w:rsidR="00C30C1C" w:rsidRDefault="00C30C1C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Pr="00492568" w:rsidRDefault="00492568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45,32</w:t>
            </w:r>
          </w:p>
        </w:tc>
        <w:tc>
          <w:tcPr>
            <w:tcW w:w="1276" w:type="dxa"/>
          </w:tcPr>
          <w:p w:rsidR="00C30C1C" w:rsidRDefault="00C30C1C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Pr="00492568" w:rsidRDefault="00492568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31,72</w:t>
            </w:r>
          </w:p>
        </w:tc>
        <w:tc>
          <w:tcPr>
            <w:tcW w:w="1276" w:type="dxa"/>
          </w:tcPr>
          <w:p w:rsidR="00C30C1C" w:rsidRDefault="00C30C1C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Pr="00492568" w:rsidRDefault="00492568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22,21</w:t>
            </w:r>
          </w:p>
        </w:tc>
        <w:tc>
          <w:tcPr>
            <w:tcW w:w="1276" w:type="dxa"/>
          </w:tcPr>
          <w:p w:rsidR="00C30C1C" w:rsidRDefault="00C30C1C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Pr="00492568" w:rsidRDefault="00492568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15,54</w:t>
            </w:r>
          </w:p>
        </w:tc>
        <w:tc>
          <w:tcPr>
            <w:tcW w:w="1276" w:type="dxa"/>
          </w:tcPr>
          <w:p w:rsidR="00C30C1C" w:rsidRDefault="00C30C1C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Pr="00492568" w:rsidRDefault="00492568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10,88</w:t>
            </w:r>
          </w:p>
        </w:tc>
        <w:tc>
          <w:tcPr>
            <w:tcW w:w="1275" w:type="dxa"/>
          </w:tcPr>
          <w:p w:rsidR="00C30C1C" w:rsidRDefault="00C30C1C" w:rsidP="00945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BA9" w:rsidRPr="00492568" w:rsidRDefault="00492568" w:rsidP="00945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7,62</w:t>
            </w:r>
          </w:p>
        </w:tc>
      </w:tr>
    </w:tbl>
    <w:p w:rsidR="00B53B46" w:rsidRPr="003D3536" w:rsidRDefault="00B53B46" w:rsidP="00B53B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53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закупа</w:t>
      </w:r>
      <w:proofErr w:type="spellEnd"/>
      <w:r w:rsidR="0057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82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57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82C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="0057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82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7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82C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57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82C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57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282C">
        <w:rPr>
          <w:rFonts w:ascii="Times New Roman" w:hAnsi="Times New Roman" w:cs="Times New Roman"/>
          <w:sz w:val="24"/>
          <w:szCs w:val="24"/>
        </w:rPr>
        <w:t>урачунат</w:t>
      </w:r>
      <w:proofErr w:type="spellEnd"/>
      <w:r w:rsidR="0057282C">
        <w:rPr>
          <w:rFonts w:ascii="Times New Roman" w:hAnsi="Times New Roman" w:cs="Times New Roman"/>
          <w:sz w:val="24"/>
          <w:szCs w:val="24"/>
        </w:rPr>
        <w:t xml:space="preserve"> </w:t>
      </w:r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порез</w:t>
      </w:r>
      <w:proofErr w:type="spellEnd"/>
      <w:proofErr w:type="gram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додату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36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3D3536">
        <w:rPr>
          <w:rFonts w:ascii="Times New Roman" w:hAnsi="Times New Roman" w:cs="Times New Roman"/>
          <w:sz w:val="24"/>
          <w:szCs w:val="24"/>
        </w:rPr>
        <w:t xml:space="preserve"> (ПДВ).</w:t>
      </w:r>
    </w:p>
    <w:p w:rsidR="00DB1710" w:rsidRPr="00945BA9" w:rsidRDefault="004D65CD" w:rsidP="00945BA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EF2D94" w:rsidRPr="004C1E20" w:rsidRDefault="004C1E20" w:rsidP="00EF2D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   </w:t>
      </w:r>
      <w:proofErr w:type="spellStart"/>
      <w:proofErr w:type="gramStart"/>
      <w:r w:rsidR="00EF2D94" w:rsidRPr="00EF2D9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EF2D94" w:rsidRPr="00EF2D94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</w:p>
    <w:p w:rsidR="00EF2D94" w:rsidRDefault="00EF2D94" w:rsidP="00DF78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2D94">
        <w:rPr>
          <w:rFonts w:ascii="Times New Roman" w:hAnsi="Times New Roman" w:cs="Times New Roman"/>
          <w:sz w:val="24"/>
          <w:szCs w:val="24"/>
        </w:rPr>
        <w:t>Зак</w:t>
      </w:r>
      <w:r>
        <w:rPr>
          <w:rFonts w:ascii="Times New Roman" w:hAnsi="Times New Roman" w:cs="Times New Roman"/>
          <w:sz w:val="24"/>
          <w:szCs w:val="24"/>
        </w:rPr>
        <w:t>упнина</w:t>
      </w:r>
      <w:proofErr w:type="spellEnd"/>
      <w:r w:rsidR="002B2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1AB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="002B2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1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B2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1AB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2B2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1AB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закупце</w:t>
      </w:r>
      <w:proofErr w:type="spellEnd"/>
      <w:r w:rsidR="008F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1B3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8F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1B3">
        <w:rPr>
          <w:rFonts w:ascii="Times New Roman" w:hAnsi="Times New Roman" w:cs="Times New Roman"/>
          <w:sz w:val="24"/>
          <w:szCs w:val="24"/>
        </w:rPr>
        <w:t>кориснике</w:t>
      </w:r>
      <w:proofErr w:type="spellEnd"/>
      <w:r w:rsidR="008F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1B3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8F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1B3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а1)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50%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под тачком а1) ове Одлуке.</w:t>
      </w:r>
    </w:p>
    <w:p w:rsidR="00EF2D94" w:rsidRDefault="00EF2D94" w:rsidP="00DF78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Закупнина</w:t>
      </w:r>
      <w:proofErr w:type="spellEnd"/>
      <w:r w:rsidR="002B2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1AB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="002B2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1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B2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1AB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2B2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="008F41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41B3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="008F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1B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F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1B3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8F41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F41B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F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1B3"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r w:rsidR="008F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1B3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DF787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 тачком а2) ове Одлуке.</w:t>
      </w:r>
    </w:p>
    <w:p w:rsidR="00EF2D94" w:rsidRPr="00EF2D94" w:rsidRDefault="00EF2D94" w:rsidP="00EF2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759" w:rsidRPr="004C1E20" w:rsidRDefault="004C1E20" w:rsidP="00EF2D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proofErr w:type="spellStart"/>
      <w:proofErr w:type="gramStart"/>
      <w:r w:rsidR="00EF2D94" w:rsidRPr="00EF2D9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EF2D94" w:rsidRPr="00EF2D94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</w:p>
    <w:p w:rsidR="00384202" w:rsidRDefault="00E7412C" w:rsidP="00E74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Висина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висина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увећава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10%,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коначна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3F2">
        <w:rPr>
          <w:rFonts w:ascii="Times New Roman" w:hAnsi="Times New Roman" w:cs="Times New Roman"/>
          <w:sz w:val="24"/>
          <w:szCs w:val="24"/>
        </w:rPr>
        <w:t xml:space="preserve">висина </w:t>
      </w:r>
      <w:proofErr w:type="spellStart"/>
      <w:r w:rsidR="00D123F2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="00D123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23F2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="00D12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F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12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F2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D12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F2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D12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F2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2D94" w:rsidRDefault="00526BE4" w:rsidP="00526BE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787E">
        <w:rPr>
          <w:rFonts w:ascii="Times New Roman" w:hAnsi="Times New Roman" w:cs="Times New Roman"/>
          <w:sz w:val="24"/>
          <w:szCs w:val="24"/>
        </w:rPr>
        <w:t>Висина</w:t>
      </w:r>
      <w:proofErr w:type="spellEnd"/>
      <w:r w:rsidR="00DF7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87E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="002B21AB">
        <w:rPr>
          <w:rFonts w:ascii="Times New Roman" w:hAnsi="Times New Roman" w:cs="Times New Roman"/>
          <w:sz w:val="24"/>
          <w:szCs w:val="24"/>
        </w:rPr>
        <w:t>,</w:t>
      </w:r>
      <w:r w:rsidR="002B21AB" w:rsidRPr="002B2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1AB">
        <w:rPr>
          <w:rFonts w:ascii="Times New Roman" w:hAnsi="Times New Roman" w:cs="Times New Roman"/>
          <w:sz w:val="24"/>
          <w:szCs w:val="24"/>
        </w:rPr>
        <w:t>накнад</w:t>
      </w:r>
      <w:r w:rsidR="001C588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2B2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1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B2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1AB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2B2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B21AB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2B21AB">
        <w:rPr>
          <w:rFonts w:ascii="Times New Roman" w:hAnsi="Times New Roman" w:cs="Times New Roman"/>
          <w:sz w:val="24"/>
          <w:szCs w:val="24"/>
        </w:rPr>
        <w:t xml:space="preserve"> </w:t>
      </w:r>
      <w:r w:rsidR="00DF7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87E">
        <w:rPr>
          <w:rFonts w:ascii="Times New Roman" w:hAnsi="Times New Roman" w:cs="Times New Roman"/>
          <w:sz w:val="24"/>
          <w:szCs w:val="24"/>
        </w:rPr>
        <w:t>утврђене</w:t>
      </w:r>
      <w:proofErr w:type="spellEnd"/>
      <w:proofErr w:type="gramEnd"/>
      <w:r w:rsidR="00DF787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F787E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="00DF787E">
        <w:rPr>
          <w:rFonts w:ascii="Times New Roman" w:hAnsi="Times New Roman" w:cs="Times New Roman"/>
          <w:sz w:val="24"/>
          <w:szCs w:val="24"/>
        </w:rPr>
        <w:t xml:space="preserve"> 3.ове </w:t>
      </w:r>
      <w:proofErr w:type="spellStart"/>
      <w:r w:rsidR="00DF787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DF7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8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F7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87E">
        <w:rPr>
          <w:rFonts w:ascii="Times New Roman" w:hAnsi="Times New Roman" w:cs="Times New Roman"/>
          <w:sz w:val="24"/>
          <w:szCs w:val="24"/>
        </w:rPr>
        <w:t>почетна</w:t>
      </w:r>
      <w:proofErr w:type="spellEnd"/>
      <w:r w:rsidR="00DF7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87E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DF7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87E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DF7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87E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="00DF7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87E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="00DF7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87E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="002B2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1AB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="002B2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1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B2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1AB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1C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86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1C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86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DF787E">
        <w:rPr>
          <w:rFonts w:ascii="Times New Roman" w:hAnsi="Times New Roman" w:cs="Times New Roman"/>
          <w:sz w:val="24"/>
          <w:szCs w:val="24"/>
        </w:rPr>
        <w:t>.</w:t>
      </w:r>
    </w:p>
    <w:p w:rsidR="00895F6B" w:rsidRPr="00895F6B" w:rsidRDefault="00895F6B" w:rsidP="00DF78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Почетна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усаглашаваће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9BB">
        <w:rPr>
          <w:rFonts w:ascii="Times New Roman" w:hAnsi="Times New Roman" w:cs="Times New Roman"/>
          <w:sz w:val="24"/>
          <w:szCs w:val="24"/>
        </w:rPr>
        <w:t>просечном</w:t>
      </w:r>
      <w:proofErr w:type="spellEnd"/>
      <w:r w:rsidR="00E5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9BB">
        <w:rPr>
          <w:rFonts w:ascii="Times New Roman" w:hAnsi="Times New Roman" w:cs="Times New Roman"/>
          <w:sz w:val="24"/>
          <w:szCs w:val="24"/>
        </w:rPr>
        <w:t>тржишном</w:t>
      </w:r>
      <w:proofErr w:type="spellEnd"/>
      <w:r w:rsidR="00E5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9BB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E5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9BB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1E20" w:rsidRDefault="004C1E20" w:rsidP="005D555F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116" w:rsidRPr="004C1E20" w:rsidRDefault="005D555F" w:rsidP="004C1E2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</w:p>
    <w:p w:rsidR="003C3257" w:rsidRDefault="00140116" w:rsidP="003C32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Закупнина</w:t>
      </w:r>
      <w:proofErr w:type="spellEnd"/>
      <w:r w:rsidR="00725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54E8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="00725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25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E8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</w:t>
      </w:r>
      <w:r w:rsidR="007254E8">
        <w:rPr>
          <w:rFonts w:ascii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</w:t>
      </w:r>
      <w:r w:rsidR="007254E8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3C21AD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="003C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1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1AD">
        <w:rPr>
          <w:rFonts w:ascii="Times New Roman" w:hAnsi="Times New Roman" w:cs="Times New Roman"/>
          <w:sz w:val="24"/>
          <w:szCs w:val="24"/>
        </w:rPr>
        <w:t>срећу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325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кладионице</w:t>
      </w:r>
      <w:proofErr w:type="spellEnd"/>
      <w:proofErr w:type="gramEnd"/>
      <w:r w:rsidR="003C3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коцкарнице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аутомати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слично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чијем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наведена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распону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утврђене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="005D555F">
        <w:rPr>
          <w:rFonts w:ascii="Times New Roman" w:hAnsi="Times New Roman" w:cs="Times New Roman"/>
          <w:sz w:val="24"/>
          <w:szCs w:val="24"/>
        </w:rPr>
        <w:t>o</w:t>
      </w:r>
      <w:r w:rsidR="003C3257">
        <w:rPr>
          <w:rFonts w:ascii="Times New Roman" w:hAnsi="Times New Roman" w:cs="Times New Roman"/>
          <w:sz w:val="24"/>
          <w:szCs w:val="24"/>
        </w:rPr>
        <w:t>ве</w:t>
      </w:r>
      <w:proofErr w:type="spellEnd"/>
      <w:proofErr w:type="gram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локала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увећања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максимално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износити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100%,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Ком</w:t>
      </w:r>
      <w:r w:rsidR="005D555F">
        <w:rPr>
          <w:rFonts w:ascii="Times New Roman" w:hAnsi="Times New Roman" w:cs="Times New Roman"/>
          <w:sz w:val="24"/>
          <w:szCs w:val="24"/>
        </w:rPr>
        <w:t>и</w:t>
      </w:r>
      <w:r w:rsidR="003C3257">
        <w:rPr>
          <w:rFonts w:ascii="Times New Roman" w:hAnsi="Times New Roman" w:cs="Times New Roman"/>
          <w:sz w:val="24"/>
          <w:szCs w:val="24"/>
        </w:rPr>
        <w:t>сија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ценити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своком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конкретном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C3257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увећања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="00725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54E8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="00725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25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E8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725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E8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725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E8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временски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неограничен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57">
        <w:rPr>
          <w:rFonts w:ascii="Times New Roman" w:hAnsi="Times New Roman" w:cs="Times New Roman"/>
          <w:sz w:val="24"/>
          <w:szCs w:val="24"/>
        </w:rPr>
        <w:t>тј</w:t>
      </w:r>
      <w:proofErr w:type="spellEnd"/>
      <w:r w:rsidR="003C32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3257">
        <w:rPr>
          <w:rFonts w:ascii="Times New Roman" w:hAnsi="Times New Roman" w:cs="Times New Roman"/>
          <w:sz w:val="24"/>
          <w:szCs w:val="24"/>
        </w:rPr>
        <w:t xml:space="preserve"> траје све док се у пословном простору обавља делатност организовања игара на срећу.</w:t>
      </w:r>
    </w:p>
    <w:p w:rsidR="003C3257" w:rsidRPr="005D555F" w:rsidRDefault="003C3257" w:rsidP="003C32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увећања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="007254E8">
        <w:rPr>
          <w:rFonts w:ascii="Times New Roman" w:hAnsi="Times New Roman" w:cs="Times New Roman"/>
          <w:sz w:val="24"/>
          <w:szCs w:val="24"/>
        </w:rPr>
        <w:t>,</w:t>
      </w:r>
      <w:r w:rsidR="007254E8" w:rsidRPr="00725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E8">
        <w:rPr>
          <w:rFonts w:ascii="Times New Roman" w:hAnsi="Times New Roman" w:cs="Times New Roman"/>
          <w:sz w:val="24"/>
          <w:szCs w:val="24"/>
        </w:rPr>
        <w:t>накнад</w:t>
      </w:r>
      <w:r w:rsidR="008E1A3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725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25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E8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725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E8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725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54E8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725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5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зависности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3257" w:rsidRDefault="003C3257" w:rsidP="003C32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3257" w:rsidRDefault="003C3257" w:rsidP="003C32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555F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555F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одступиту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изузетним случајевима и то :</w:t>
      </w:r>
    </w:p>
    <w:p w:rsidR="005D555F" w:rsidRPr="005D555F" w:rsidRDefault="005D555F" w:rsidP="003C32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5575" w:rsidRPr="00C96759" w:rsidRDefault="006D5114" w:rsidP="0009557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759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59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575" w:rsidRPr="00C96759">
        <w:rPr>
          <w:rFonts w:ascii="Times New Roman" w:hAnsi="Times New Roman" w:cs="Times New Roman"/>
          <w:sz w:val="24"/>
          <w:szCs w:val="24"/>
        </w:rPr>
        <w:t>младим</w:t>
      </w:r>
      <w:proofErr w:type="spellEnd"/>
      <w:r w:rsidR="00095575" w:rsidRP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575" w:rsidRPr="00C96759">
        <w:rPr>
          <w:rFonts w:ascii="Times New Roman" w:hAnsi="Times New Roman" w:cs="Times New Roman"/>
          <w:sz w:val="24"/>
          <w:szCs w:val="24"/>
        </w:rPr>
        <w:t>предузетницима</w:t>
      </w:r>
      <w:proofErr w:type="spellEnd"/>
      <w:r w:rsidR="005D555F" w:rsidRPr="00C96759">
        <w:rPr>
          <w:rFonts w:ascii="Times New Roman" w:hAnsi="Times New Roman" w:cs="Times New Roman"/>
          <w:sz w:val="24"/>
          <w:szCs w:val="24"/>
        </w:rPr>
        <w:t>,</w:t>
      </w:r>
      <w:r w:rsidR="00095575" w:rsidRP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59">
        <w:rPr>
          <w:rFonts w:ascii="Times New Roman" w:hAnsi="Times New Roman" w:cs="Times New Roman"/>
          <w:sz w:val="24"/>
          <w:szCs w:val="24"/>
        </w:rPr>
        <w:t>почетницима</w:t>
      </w:r>
      <w:proofErr w:type="spellEnd"/>
      <w:r w:rsidRPr="00C9675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96759">
        <w:rPr>
          <w:rFonts w:ascii="Times New Roman" w:hAnsi="Times New Roman" w:cs="Times New Roman"/>
          <w:sz w:val="24"/>
          <w:szCs w:val="24"/>
        </w:rPr>
        <w:t>бизнису</w:t>
      </w:r>
      <w:proofErr w:type="spellEnd"/>
      <w:r w:rsidR="005D555F" w:rsidRPr="00C96759">
        <w:rPr>
          <w:rFonts w:ascii="Times New Roman" w:hAnsi="Times New Roman" w:cs="Times New Roman"/>
          <w:sz w:val="24"/>
          <w:szCs w:val="24"/>
        </w:rPr>
        <w:t>.</w:t>
      </w:r>
    </w:p>
    <w:p w:rsidR="006D5114" w:rsidRPr="00F31BAA" w:rsidRDefault="006D5114" w:rsidP="00F31BAA">
      <w:pPr>
        <w:pStyle w:val="ListParagraph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пословна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просторија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де</w:t>
      </w:r>
      <w:r w:rsidR="00095575" w:rsidRPr="00F31BA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95575"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575" w:rsidRPr="00F31BAA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="00095575"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575" w:rsidRPr="00F31BAA">
        <w:rPr>
          <w:rFonts w:ascii="Times New Roman" w:hAnsi="Times New Roman" w:cs="Times New Roman"/>
          <w:sz w:val="24"/>
          <w:szCs w:val="24"/>
        </w:rPr>
        <w:t>просторије</w:t>
      </w:r>
      <w:proofErr w:type="spellEnd"/>
      <w:r w:rsidR="00095575" w:rsidRPr="00F31B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5575" w:rsidRPr="00F31BAA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="00095575" w:rsidRPr="00F31B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подруму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сутерену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значајан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просторије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просторије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BA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заједнички</w:t>
      </w:r>
      <w:proofErr w:type="spellEnd"/>
      <w:proofErr w:type="gram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мокри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чвор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удео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захедничком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ходнику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степениште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просторије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тераса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висина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обрачунава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делове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пословних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просторија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умањити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умањења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цени</w:t>
      </w:r>
      <w:r w:rsidR="005D555F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r w:rsidRPr="00F31BA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своком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конкретном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BAA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F31BAA">
        <w:rPr>
          <w:rFonts w:ascii="Times New Roman" w:hAnsi="Times New Roman" w:cs="Times New Roman"/>
          <w:sz w:val="24"/>
          <w:szCs w:val="24"/>
        </w:rPr>
        <w:t>.</w:t>
      </w:r>
    </w:p>
    <w:p w:rsidR="006D5114" w:rsidRPr="00812C4B" w:rsidRDefault="006D5114" w:rsidP="00812C4B">
      <w:pPr>
        <w:pStyle w:val="ListParagraph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4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2C4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1A33" w:rsidRPr="00812C4B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proofErr w:type="gramEnd"/>
      <w:r w:rsidR="008E1A33" w:rsidRPr="00812C4B">
        <w:rPr>
          <w:rFonts w:ascii="Times New Roman" w:hAnsi="Times New Roman" w:cs="Times New Roman"/>
          <w:sz w:val="24"/>
          <w:szCs w:val="24"/>
        </w:rPr>
        <w:t xml:space="preserve"> </w:t>
      </w:r>
      <w:r w:rsidRPr="00812C4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пословна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просторија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својом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површином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положајем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нпр.двориште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пасаж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прилазни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оправдава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lastRenderedPageBreak/>
        <w:t>могућност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висина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исту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, </w:t>
      </w:r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зону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ниже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зону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пословна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просторија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ценити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Мевеђа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своком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конкретном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4B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812C4B">
        <w:rPr>
          <w:rFonts w:ascii="Times New Roman" w:hAnsi="Times New Roman" w:cs="Times New Roman"/>
          <w:sz w:val="24"/>
          <w:szCs w:val="24"/>
        </w:rPr>
        <w:t>.</w:t>
      </w:r>
    </w:p>
    <w:p w:rsidR="003C3257" w:rsidRDefault="00812C4B" w:rsidP="00DC70F6">
      <w:pPr>
        <w:pStyle w:val="ListParagraph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</w:t>
      </w:r>
      <w:r w:rsidR="005D555F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кориснику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наплате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конкретном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сачињене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2C4B" w:rsidRDefault="00812C4B" w:rsidP="00DC70F6">
      <w:pPr>
        <w:pStyle w:val="ListParagraph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закупац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5D5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5F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C7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0F6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DC7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0F6">
        <w:rPr>
          <w:rFonts w:ascii="Times New Roman" w:hAnsi="Times New Roman" w:cs="Times New Roman"/>
          <w:sz w:val="24"/>
          <w:szCs w:val="24"/>
        </w:rPr>
        <w:t>одобрења</w:t>
      </w:r>
      <w:proofErr w:type="spellEnd"/>
      <w:r w:rsidR="00DC7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0F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C7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0F6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DC7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0F6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DC7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0F6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DC7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0F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C7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0F6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DC70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сопственим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увећава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таквом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закупцу</w:t>
      </w:r>
      <w:proofErr w:type="spellEnd"/>
      <w:r w:rsidR="008E1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1A33">
        <w:rPr>
          <w:rFonts w:ascii="Times New Roman" w:hAnsi="Times New Roman" w:cs="Times New Roman"/>
          <w:sz w:val="24"/>
          <w:szCs w:val="24"/>
        </w:rPr>
        <w:t>кориснику</w:t>
      </w:r>
      <w:proofErr w:type="spellEnd"/>
      <w:r w:rsidR="008E1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A33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8E1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A33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фактурише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закупнина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>,</w:t>
      </w:r>
      <w:r w:rsidR="008E1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A33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="008E1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A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1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A33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отплате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уложених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1AD6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51AD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умањеном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уложених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D6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651AD6">
        <w:rPr>
          <w:rFonts w:ascii="Times New Roman" w:hAnsi="Times New Roman" w:cs="Times New Roman"/>
          <w:sz w:val="24"/>
          <w:szCs w:val="24"/>
        </w:rPr>
        <w:t>.</w:t>
      </w:r>
    </w:p>
    <w:p w:rsidR="00651AD6" w:rsidRDefault="00651AD6" w:rsidP="00DC70F6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закупац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E1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A33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="008E1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A33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8E1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A33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6. Овог члана, оствари право на умањење запунине, закупац то право може остварити само током трајања закуподавног односа, у супротном,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престанка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закуподавног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отплате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уложених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закупац</w:t>
      </w:r>
      <w:proofErr w:type="spellEnd"/>
      <w:r w:rsidR="008E1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1A33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="008E1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A33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8E1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A33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рефундацију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1AD6" w:rsidRDefault="00651AD6" w:rsidP="00651AD6">
      <w:pPr>
        <w:pStyle w:val="ListParagraph"/>
        <w:spacing w:after="0"/>
        <w:ind w:left="0" w:firstLine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7.</w:t>
      </w:r>
    </w:p>
    <w:p w:rsidR="00651AD6" w:rsidRDefault="00651AD6" w:rsidP="00812C4B">
      <w:pPr>
        <w:pStyle w:val="ListParagraph"/>
        <w:spacing w:after="0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Закупцима</w:t>
      </w:r>
      <w:proofErr w:type="spellEnd"/>
      <w:r w:rsidR="00445A9B">
        <w:rPr>
          <w:rFonts w:ascii="Times New Roman" w:hAnsi="Times New Roman" w:cs="Times New Roman"/>
          <w:sz w:val="24"/>
          <w:szCs w:val="24"/>
        </w:rPr>
        <w:t>,</w:t>
      </w:r>
      <w:r w:rsidR="008E1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A33">
        <w:rPr>
          <w:rFonts w:ascii="Times New Roman" w:hAnsi="Times New Roman" w:cs="Times New Roman"/>
          <w:sz w:val="24"/>
          <w:szCs w:val="24"/>
        </w:rPr>
        <w:t>корисницима</w:t>
      </w:r>
      <w:proofErr w:type="spellEnd"/>
      <w:r w:rsidR="008E1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A33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8E1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E1A33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8E1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</w:t>
      </w:r>
      <w:r w:rsidR="008E1A33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склопу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регулисане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електричну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водовод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канализацију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топлотну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>
        <w:rPr>
          <w:rFonts w:ascii="Times New Roman" w:hAnsi="Times New Roman" w:cs="Times New Roman"/>
          <w:sz w:val="24"/>
          <w:szCs w:val="24"/>
        </w:rPr>
        <w:t>закупца</w:t>
      </w:r>
      <w:proofErr w:type="spellEnd"/>
      <w:r w:rsidR="0004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>
        <w:rPr>
          <w:rFonts w:ascii="Times New Roman" w:hAnsi="Times New Roman" w:cs="Times New Roman"/>
          <w:sz w:val="24"/>
          <w:szCs w:val="24"/>
        </w:rPr>
        <w:t>тј</w:t>
      </w:r>
      <w:proofErr w:type="spellEnd"/>
      <w:r w:rsidR="00045E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45EB1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proofErr w:type="gramEnd"/>
      <w:r w:rsidR="0004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="0004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045E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EB1">
        <w:rPr>
          <w:rFonts w:ascii="Times New Roman" w:hAnsi="Times New Roman" w:cs="Times New Roman"/>
          <w:sz w:val="24"/>
          <w:szCs w:val="24"/>
        </w:rPr>
        <w:t>закупнина</w:t>
      </w:r>
      <w:proofErr w:type="spellEnd"/>
      <w:r w:rsidR="008E1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1A33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="0004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4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04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04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="0004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>
        <w:rPr>
          <w:rFonts w:ascii="Times New Roman" w:hAnsi="Times New Roman" w:cs="Times New Roman"/>
          <w:sz w:val="24"/>
          <w:szCs w:val="24"/>
        </w:rPr>
        <w:t>увећана</w:t>
      </w:r>
      <w:proofErr w:type="spellEnd"/>
      <w:r w:rsidR="00045E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45EB1">
        <w:rPr>
          <w:rFonts w:ascii="Times New Roman" w:hAnsi="Times New Roman" w:cs="Times New Roman"/>
          <w:sz w:val="24"/>
          <w:szCs w:val="24"/>
        </w:rPr>
        <w:t>одговарајућем</w:t>
      </w:r>
      <w:proofErr w:type="spellEnd"/>
      <w:r w:rsidR="0004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>
        <w:rPr>
          <w:rFonts w:ascii="Times New Roman" w:hAnsi="Times New Roman" w:cs="Times New Roman"/>
          <w:sz w:val="24"/>
          <w:szCs w:val="24"/>
        </w:rPr>
        <w:t>проценту</w:t>
      </w:r>
      <w:proofErr w:type="spellEnd"/>
      <w:r w:rsidR="00045EB1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045E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4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="0004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="0004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="0004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="00045EB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45EB1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04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04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>
        <w:rPr>
          <w:rFonts w:ascii="Times New Roman" w:hAnsi="Times New Roman" w:cs="Times New Roman"/>
          <w:sz w:val="24"/>
          <w:szCs w:val="24"/>
        </w:rPr>
        <w:t>ценити</w:t>
      </w:r>
      <w:proofErr w:type="spellEnd"/>
      <w:r w:rsidR="0004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 w:rsidRPr="008E1A33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045EB1" w:rsidRPr="008E1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 w:rsidRPr="008E1A33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045EB1" w:rsidRPr="008E1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 w:rsidRPr="008E1A3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045EB1" w:rsidRPr="008E1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 w:rsidRPr="008E1A33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045EB1" w:rsidRPr="008E1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 w:rsidRPr="008E1A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45EB1" w:rsidRPr="008E1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 w:rsidRPr="008E1A33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045EB1" w:rsidRPr="008E1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EB1" w:rsidRPr="008E1A33">
        <w:rPr>
          <w:rFonts w:ascii="Times New Roman" w:hAnsi="Times New Roman" w:cs="Times New Roman"/>
          <w:sz w:val="24"/>
          <w:szCs w:val="24"/>
        </w:rPr>
        <w:t>Ком</w:t>
      </w:r>
      <w:r w:rsidR="00A73AE1" w:rsidRPr="008E1A33">
        <w:rPr>
          <w:rFonts w:ascii="Times New Roman" w:hAnsi="Times New Roman" w:cs="Times New Roman"/>
          <w:sz w:val="24"/>
          <w:szCs w:val="24"/>
        </w:rPr>
        <w:t>и</w:t>
      </w:r>
      <w:r w:rsidR="002355EA" w:rsidRPr="008E1A33">
        <w:rPr>
          <w:rFonts w:ascii="Times New Roman" w:hAnsi="Times New Roman" w:cs="Times New Roman"/>
          <w:sz w:val="24"/>
          <w:szCs w:val="24"/>
        </w:rPr>
        <w:t>сије</w:t>
      </w:r>
      <w:proofErr w:type="spellEnd"/>
      <w:r w:rsidR="002355EA" w:rsidRPr="008E1A33">
        <w:rPr>
          <w:rFonts w:ascii="Times New Roman" w:hAnsi="Times New Roman" w:cs="Times New Roman"/>
          <w:sz w:val="24"/>
          <w:szCs w:val="24"/>
        </w:rPr>
        <w:t>.</w:t>
      </w:r>
    </w:p>
    <w:p w:rsidR="00045EB1" w:rsidRPr="004258A2" w:rsidRDefault="00045EB1" w:rsidP="00045EB1">
      <w:pPr>
        <w:pStyle w:val="ListParagraph"/>
        <w:spacing w:after="0"/>
        <w:ind w:left="0" w:firstLine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58A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258A2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</w:p>
    <w:p w:rsidR="00045EB1" w:rsidRDefault="00045EB1" w:rsidP="00812C4B">
      <w:pPr>
        <w:pStyle w:val="ListParagraph"/>
        <w:spacing w:after="0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67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59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59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59">
        <w:rPr>
          <w:rFonts w:ascii="Times New Roman" w:hAnsi="Times New Roman" w:cs="Times New Roman"/>
          <w:sz w:val="24"/>
          <w:szCs w:val="24"/>
        </w:rPr>
        <w:t>посло</w:t>
      </w:r>
      <w:r w:rsidR="00C96759">
        <w:rPr>
          <w:rFonts w:ascii="Times New Roman" w:hAnsi="Times New Roman" w:cs="Times New Roman"/>
          <w:sz w:val="24"/>
          <w:szCs w:val="24"/>
        </w:rPr>
        <w:t>вне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објекте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примењиваће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зоне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доприноса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уређење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59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="00C96759">
        <w:rPr>
          <w:rFonts w:ascii="Times New Roman" w:hAnsi="Times New Roman" w:cs="Times New Roman"/>
          <w:sz w:val="24"/>
          <w:szCs w:val="24"/>
        </w:rPr>
        <w:t xml:space="preserve"> земљишта бр.</w:t>
      </w:r>
      <w:proofErr w:type="gramEnd"/>
      <w:r w:rsidR="00C96759">
        <w:rPr>
          <w:rFonts w:ascii="Times New Roman" w:hAnsi="Times New Roman" w:cs="Times New Roman"/>
          <w:sz w:val="24"/>
          <w:szCs w:val="24"/>
        </w:rPr>
        <w:t xml:space="preserve"> 06-351/2015 од 21.07.2015.године</w:t>
      </w:r>
    </w:p>
    <w:p w:rsidR="00711D8B" w:rsidRPr="00C96759" w:rsidRDefault="00711D8B" w:rsidP="00812C4B">
      <w:pPr>
        <w:pStyle w:val="ListParagraph"/>
        <w:spacing w:after="0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045EB1" w:rsidRDefault="00045EB1" w:rsidP="00045EB1">
      <w:pPr>
        <w:pStyle w:val="ListParagraph"/>
        <w:spacing w:after="0"/>
        <w:ind w:left="0" w:firstLine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</w:p>
    <w:p w:rsidR="00F87DFD" w:rsidRPr="00F87DFD" w:rsidRDefault="00F87DFD" w:rsidP="00DC70F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DFD">
        <w:rPr>
          <w:rFonts w:ascii="Times New Roman" w:hAnsi="Times New Roman" w:cs="Times New Roman"/>
          <w:sz w:val="24"/>
          <w:szCs w:val="24"/>
          <w:lang w:val="sr-Cyrl-CS"/>
        </w:rPr>
        <w:t>Ова одлука ступа на снагу наредног дана од дана</w:t>
      </w:r>
      <w:r w:rsidRPr="00F87DF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F87DFD">
        <w:rPr>
          <w:rFonts w:ascii="Times New Roman" w:hAnsi="Times New Roman" w:cs="Times New Roman"/>
          <w:sz w:val="24"/>
          <w:szCs w:val="24"/>
          <w:lang w:val="sr-Cyrl-CS"/>
        </w:rPr>
        <w:t>објављивања у ''Службеном гласнику града Лесковца''.</w:t>
      </w:r>
    </w:p>
    <w:p w:rsidR="00140116" w:rsidRDefault="00045EB1" w:rsidP="0013421B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СКУПШТИНА ОПШТИНЕ МЕДВЕЂА</w:t>
      </w:r>
    </w:p>
    <w:p w:rsidR="00045EB1" w:rsidRPr="00CA547A" w:rsidRDefault="00045EB1" w:rsidP="0013421B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CA547A">
        <w:rPr>
          <w:rFonts w:ascii="Times New Roman" w:hAnsi="Times New Roman" w:cs="Times New Roman"/>
          <w:sz w:val="24"/>
          <w:szCs w:val="24"/>
          <w:lang w:val="sr-Cyrl-CS"/>
        </w:rPr>
        <w:t>ој: 06-562/2016-</w:t>
      </w:r>
      <w:r w:rsidR="00CA547A">
        <w:rPr>
          <w:rFonts w:ascii="Times New Roman" w:hAnsi="Times New Roman" w:cs="Times New Roman"/>
          <w:sz w:val="24"/>
          <w:szCs w:val="24"/>
        </w:rPr>
        <w:t xml:space="preserve">I/12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A547A">
        <w:rPr>
          <w:rFonts w:ascii="Times New Roman" w:hAnsi="Times New Roman" w:cs="Times New Roman"/>
          <w:sz w:val="24"/>
          <w:szCs w:val="24"/>
        </w:rPr>
        <w:t xml:space="preserve"> 13. </w:t>
      </w:r>
      <w:r w:rsidR="00CA547A">
        <w:rPr>
          <w:rFonts w:ascii="Times New Roman" w:hAnsi="Times New Roman" w:cs="Times New Roman"/>
          <w:sz w:val="24"/>
          <w:szCs w:val="24"/>
          <w:lang w:val="sr-Cyrl-CS"/>
        </w:rPr>
        <w:t>септембра 2016. године</w:t>
      </w:r>
    </w:p>
    <w:p w:rsidR="004C1E20" w:rsidRDefault="00711D8B" w:rsidP="00DF78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1D8B" w:rsidRDefault="004C1E20" w:rsidP="00DF78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СЕКРЕТАР,</w:t>
      </w:r>
      <w:r w:rsidR="00711D8B">
        <w:rPr>
          <w:rFonts w:ascii="Times New Roman" w:hAnsi="Times New Roman" w:cs="Times New Roman"/>
          <w:sz w:val="24"/>
          <w:szCs w:val="24"/>
        </w:rPr>
        <w:tab/>
      </w:r>
    </w:p>
    <w:p w:rsidR="004C1E20" w:rsidRDefault="00E72BA6" w:rsidP="004C1E20">
      <w:pPr>
        <w:spacing w:after="0"/>
        <w:ind w:left="72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C1E20">
        <w:rPr>
          <w:rFonts w:ascii="Times New Roman" w:hAnsi="Times New Roman" w:cs="Times New Roman"/>
          <w:sz w:val="24"/>
          <w:szCs w:val="24"/>
          <w:lang w:val="sr-Cyrl-CS"/>
        </w:rPr>
        <w:t>Драган Андрејевић, дипл.правник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C1E20">
        <w:rPr>
          <w:rFonts w:ascii="Times New Roman" w:hAnsi="Times New Roman" w:cs="Times New Roman"/>
          <w:sz w:val="24"/>
          <w:szCs w:val="24"/>
        </w:rPr>
        <w:t>ПРЕДСЕДНИК,</w:t>
      </w:r>
    </w:p>
    <w:p w:rsidR="00E72BA6" w:rsidRDefault="00E72BA6" w:rsidP="004C1E20">
      <w:pPr>
        <w:tabs>
          <w:tab w:val="left" w:pos="720"/>
          <w:tab w:val="left" w:pos="1440"/>
          <w:tab w:val="left" w:pos="2160"/>
          <w:tab w:val="left" w:pos="2880"/>
          <w:tab w:val="left" w:pos="7159"/>
        </w:tabs>
        <w:spacing w:after="0"/>
        <w:ind w:left="72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4C1E2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="004C1E2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C1E20">
        <w:rPr>
          <w:rFonts w:ascii="Times New Roman" w:hAnsi="Times New Roman" w:cs="Times New Roman"/>
          <w:sz w:val="24"/>
          <w:szCs w:val="24"/>
          <w:lang w:val="sr-Cyrl-CS"/>
        </w:rPr>
        <w:tab/>
        <w:t>Милисав Милетић, дипл.ек.</w:t>
      </w:r>
    </w:p>
    <w:p w:rsidR="00045EB1" w:rsidRPr="00E72BA6" w:rsidRDefault="00E72BA6" w:rsidP="00E72BA6">
      <w:pPr>
        <w:tabs>
          <w:tab w:val="left" w:pos="74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</w:t>
      </w:r>
    </w:p>
    <w:sectPr w:rsidR="00045EB1" w:rsidRPr="00E72BA6" w:rsidSect="00C96759">
      <w:pgSz w:w="12240" w:h="15840"/>
      <w:pgMar w:top="851" w:right="104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590E"/>
    <w:multiLevelType w:val="hybridMultilevel"/>
    <w:tmpl w:val="1534BC72"/>
    <w:lvl w:ilvl="0" w:tplc="9A52B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E07A6"/>
    <w:multiLevelType w:val="hybridMultilevel"/>
    <w:tmpl w:val="90F69B58"/>
    <w:lvl w:ilvl="0" w:tplc="13A049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E439F"/>
    <w:multiLevelType w:val="hybridMultilevel"/>
    <w:tmpl w:val="0EDC49BA"/>
    <w:lvl w:ilvl="0" w:tplc="F12EFD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2150FC"/>
    <w:multiLevelType w:val="hybridMultilevel"/>
    <w:tmpl w:val="1C1CD16A"/>
    <w:lvl w:ilvl="0" w:tplc="7D102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345BB"/>
    <w:multiLevelType w:val="hybridMultilevel"/>
    <w:tmpl w:val="135ACD2E"/>
    <w:lvl w:ilvl="0" w:tplc="C8B2E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B512C9"/>
    <w:rsid w:val="00015DE1"/>
    <w:rsid w:val="00045EB1"/>
    <w:rsid w:val="00094B92"/>
    <w:rsid w:val="00095575"/>
    <w:rsid w:val="000D1313"/>
    <w:rsid w:val="000F61F1"/>
    <w:rsid w:val="00100C4E"/>
    <w:rsid w:val="0013421B"/>
    <w:rsid w:val="00140116"/>
    <w:rsid w:val="00153784"/>
    <w:rsid w:val="001B525D"/>
    <w:rsid w:val="001C5886"/>
    <w:rsid w:val="001E2402"/>
    <w:rsid w:val="00206E5E"/>
    <w:rsid w:val="002355EA"/>
    <w:rsid w:val="00273278"/>
    <w:rsid w:val="00277912"/>
    <w:rsid w:val="002B21AB"/>
    <w:rsid w:val="002B2E4F"/>
    <w:rsid w:val="002D5552"/>
    <w:rsid w:val="003156FF"/>
    <w:rsid w:val="00384202"/>
    <w:rsid w:val="003979DB"/>
    <w:rsid w:val="003C21AD"/>
    <w:rsid w:val="003C3257"/>
    <w:rsid w:val="003D3536"/>
    <w:rsid w:val="003E5987"/>
    <w:rsid w:val="003E6151"/>
    <w:rsid w:val="00403220"/>
    <w:rsid w:val="004258A2"/>
    <w:rsid w:val="00445A9B"/>
    <w:rsid w:val="00485AB2"/>
    <w:rsid w:val="00490F20"/>
    <w:rsid w:val="00492568"/>
    <w:rsid w:val="00493EC3"/>
    <w:rsid w:val="004A2175"/>
    <w:rsid w:val="004A4E3B"/>
    <w:rsid w:val="004C1E20"/>
    <w:rsid w:val="004D65CD"/>
    <w:rsid w:val="004F20C1"/>
    <w:rsid w:val="00526BE4"/>
    <w:rsid w:val="00536146"/>
    <w:rsid w:val="0057282C"/>
    <w:rsid w:val="005C5DB3"/>
    <w:rsid w:val="005D3408"/>
    <w:rsid w:val="005D5062"/>
    <w:rsid w:val="005D555F"/>
    <w:rsid w:val="005F6C57"/>
    <w:rsid w:val="00607D35"/>
    <w:rsid w:val="00651AD6"/>
    <w:rsid w:val="006D5114"/>
    <w:rsid w:val="006E676F"/>
    <w:rsid w:val="00702648"/>
    <w:rsid w:val="00711D8B"/>
    <w:rsid w:val="00714044"/>
    <w:rsid w:val="00722F6F"/>
    <w:rsid w:val="007254E8"/>
    <w:rsid w:val="00743CC8"/>
    <w:rsid w:val="007E6D6E"/>
    <w:rsid w:val="007F3479"/>
    <w:rsid w:val="007F66CA"/>
    <w:rsid w:val="00812C4B"/>
    <w:rsid w:val="0085052E"/>
    <w:rsid w:val="00895F6B"/>
    <w:rsid w:val="008D2BA2"/>
    <w:rsid w:val="008E1A33"/>
    <w:rsid w:val="008F41B3"/>
    <w:rsid w:val="0092283B"/>
    <w:rsid w:val="00945BA9"/>
    <w:rsid w:val="009F30A3"/>
    <w:rsid w:val="00A363AB"/>
    <w:rsid w:val="00A73AE1"/>
    <w:rsid w:val="00A77765"/>
    <w:rsid w:val="00AB3039"/>
    <w:rsid w:val="00AE3593"/>
    <w:rsid w:val="00B01F8A"/>
    <w:rsid w:val="00B22D20"/>
    <w:rsid w:val="00B40196"/>
    <w:rsid w:val="00B44222"/>
    <w:rsid w:val="00B512C9"/>
    <w:rsid w:val="00B53B46"/>
    <w:rsid w:val="00B95E2D"/>
    <w:rsid w:val="00BA3EF2"/>
    <w:rsid w:val="00BE75B3"/>
    <w:rsid w:val="00C164B9"/>
    <w:rsid w:val="00C30C1C"/>
    <w:rsid w:val="00C33829"/>
    <w:rsid w:val="00C96759"/>
    <w:rsid w:val="00C975F1"/>
    <w:rsid w:val="00CA547A"/>
    <w:rsid w:val="00CB3BB4"/>
    <w:rsid w:val="00CE3474"/>
    <w:rsid w:val="00CF33D0"/>
    <w:rsid w:val="00CF5A87"/>
    <w:rsid w:val="00D0352A"/>
    <w:rsid w:val="00D07FBF"/>
    <w:rsid w:val="00D123F2"/>
    <w:rsid w:val="00D46BE3"/>
    <w:rsid w:val="00D70325"/>
    <w:rsid w:val="00D73D81"/>
    <w:rsid w:val="00D80BF0"/>
    <w:rsid w:val="00D864D7"/>
    <w:rsid w:val="00DB1710"/>
    <w:rsid w:val="00DC70F6"/>
    <w:rsid w:val="00DE23B3"/>
    <w:rsid w:val="00DE6118"/>
    <w:rsid w:val="00DF787E"/>
    <w:rsid w:val="00E266B0"/>
    <w:rsid w:val="00E519BB"/>
    <w:rsid w:val="00E72BA6"/>
    <w:rsid w:val="00E7412C"/>
    <w:rsid w:val="00EB3660"/>
    <w:rsid w:val="00EC1D87"/>
    <w:rsid w:val="00EF2D94"/>
    <w:rsid w:val="00EF2E2F"/>
    <w:rsid w:val="00F230C3"/>
    <w:rsid w:val="00F31BAA"/>
    <w:rsid w:val="00F42457"/>
    <w:rsid w:val="00F87DFD"/>
    <w:rsid w:val="00F979F0"/>
    <w:rsid w:val="00FC2953"/>
    <w:rsid w:val="00FF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DE1"/>
  </w:style>
  <w:style w:type="paragraph" w:styleId="Heading1">
    <w:name w:val="heading 1"/>
    <w:basedOn w:val="Normal"/>
    <w:next w:val="Normal"/>
    <w:link w:val="Heading1Char"/>
    <w:uiPriority w:val="9"/>
    <w:qFormat/>
    <w:rsid w:val="00015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D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5D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15D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5D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15DE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15DE1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DB1710"/>
    <w:pPr>
      <w:ind w:left="720"/>
      <w:contextualSpacing/>
    </w:pPr>
  </w:style>
  <w:style w:type="table" w:styleId="TableGrid">
    <w:name w:val="Table Grid"/>
    <w:basedOn w:val="TableNormal"/>
    <w:uiPriority w:val="59"/>
    <w:rsid w:val="00A77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j.andjelic</dc:creator>
  <cp:lastModifiedBy> </cp:lastModifiedBy>
  <cp:revision>88</cp:revision>
  <cp:lastPrinted>2016-09-15T12:23:00Z</cp:lastPrinted>
  <dcterms:created xsi:type="dcterms:W3CDTF">2016-06-17T05:22:00Z</dcterms:created>
  <dcterms:modified xsi:type="dcterms:W3CDTF">2016-09-15T12:49:00Z</dcterms:modified>
</cp:coreProperties>
</file>