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4B" w:rsidRDefault="00A85E4B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85E4B" w:rsidRDefault="00A85E4B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130" w:rsidRPr="00736130" w:rsidRDefault="009732A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Këshilli komunal i komunës së Medvegjës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seancën e 15. të mbajtujar në ditën 09.korrik të vitit 2024, në bazë të nenit 46. Ligjit mbi vetëqeverisjen lokale (“ Gazeta zyrtare RS”, numër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>129/2007, 83/2014  -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ligji tjetër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101/2016 –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ligji tjetër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47/2018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111/2021 –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ligji tjetër), neni 66. Statuti i komunës së Medvegjës (“ Gazeta zyrtare e qyteti të Leskovcit “ numër 9/2019), neni 12.të Rregullorës mbi punën e Këshillit komunal të komunës së Medvegjës (“ Gazeta zyrtare e qyteti të Leskovcit “ numër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>41/2022)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neni 12. paragrafi 1.</w:t>
      </w:r>
      <w:r w:rsidRPr="00736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 për bashkëfinancimin e masave të sanimit energjetik, shtëpive dhe banesave familjare në kuadër të projektit “Energjia e pastër dhe efikasiteti energjetik për qytetarët në Serbi” 08 Numër: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06-34/2024/2 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nga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03.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korrik të vtit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sjell, 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6130" w:rsidRPr="00736130" w:rsidRDefault="00736130" w:rsidP="007361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 E N D I M I N</w:t>
      </w:r>
    </w:p>
    <w:p w:rsidR="00736130" w:rsidRPr="00736130" w:rsidRDefault="00736130" w:rsidP="007361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për shpalljen e thirrjes publike për pjesëmarrjen e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shfrytëzuesve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të drejtpërdrejtë (subjektet afariste) në zbatimin e masave të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sanimit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energjetik të shtëpive dhe banesave familjare në territorin e komunës së Medvegjës.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:rsidR="00736130" w:rsidRPr="00736130" w:rsidRDefault="00736130" w:rsidP="00736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Neni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36130" w:rsidRPr="00736130" w:rsidRDefault="00736130" w:rsidP="007361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Qëllimi i zbatimit të masave për rinovimin e energjisë për shtëpitë dhe banesat familjare është përmirësimi i efikasitetit energjetik në sektorin e banimit dhe rritja e përdorimit të burimeve të rinovueshme të energjisë në amvisëritë në territorin e Komunës së Medvegjës.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6130" w:rsidRPr="00736130" w:rsidRDefault="00736130" w:rsidP="00736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Neni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Lëndë e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shpalljes publike është përzgjedhja e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shfrytëzuesve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të drejtpërdrejtë (subjektet afariste) në zbatimin e masave të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sanimin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energjetik të shtëpive dhe banesave familjare në territorin e komunës së Medvegjës.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36130" w:rsidRPr="00736130" w:rsidRDefault="00736130" w:rsidP="00736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Neni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36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Në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hirrjen Publike kanë të drejtë të marrin pjesë subjektet afariste që dorëzojnë dhe instalojnë materiale, pajisje për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sanimin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 energjisë përmes masave të efiçiencës së energjisë dhe që plotësojnë kushtet e mëposhtme.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>përfaqësuesit ligjor nuk i është shqiptuar as masa e përhershme dhe as e përkohshme që ndalon kryerjen e veprimtarisë në dy vitet e fundit.;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pronarët/themeluesit dhe përfaqësuesit ligjorë nuk janë dënuar ligjërisht për vepra penale kundër ekonomisë, vepra penale kundër mjedisit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jetësor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vepra penale të marrjes ose dhënies së ryshfetit, vepra penale kundër të drejtave të punës, vepra penale si anëtarë të grupit të organizuar kriminal,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veprat penale dhe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mashtrimit dhe veprat e tjera penale që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ndiqen sipas detyrës zyrtare, si dhe që ndaj tyre nuk zhvillohet asnjë hetim apo procedim penal;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subjekti afarist ka qenë i regjistruar në regjistrin e Agjencisë për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egjistrat e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ekonomike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, së paku 2 vjet nga data e paraqitjes së aplikimit.;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subjekti afarist nuk është i falimentuar, i paaftë për të paguar dhe se ndaj tij nuk është nisur asnjë procedurë likuidimi;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subjekti afarist ka certifikata (me karakteristikat e kërkuara të shënuara qartë në serbisht) për materialet dhe produktet që shesin dhe instalojnë;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subjekti afarist përmbush edhe kërkesat e tjera të parashikuara me ligj për të drejtat dhe detyrimet e punëmarrësve, të cilat përcaktohen me dispozitat që kanë të bëjnë me sigurinë dhe shëndetin në punë;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subjekti afarist ka të punësuar ose të angazhuar ndryshe inxhinier elektrik, i cili ka licencë në përputhje me ligjin që rregullon ndërtimin e objekteve dhe i cili do të ngarkohet me përgatitjen e raportit për instalimin e integruar të paneleve diellore për prodhimin e energjisë elektrike 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subjekti afarist ofron një garanci minimale pesëvjeçare për inverterin dhe një garanci minimale dhjetëvjeçare për panelet diellore;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periudha e vlefshmërisë së ofruar për qytetarët është minimalisht 60 ditë;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subjekti afarist njihet me kushtet që duhet të plotësojë gjatë zbatimit të aktivitetit, të cilat janë të disponueshme për publikun në faqen e internetit të Ministrisë së Minierave dhe Energjetikës.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hyperlink r:id="rId9" w:history="1">
        <w:r w:rsidRPr="0073613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7361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q-AL"/>
        </w:rPr>
        <w:t>dhe atë</w:t>
      </w:r>
      <w:r w:rsidRPr="0073613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Latn-CS"/>
        </w:rPr>
        <w:t>„Rregullore mbi punën në projekt“,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Latn-CS"/>
        </w:rPr>
        <w:t>„Kuadri për menaxhimin e mbrojtjes së mjedisit jetësor dhe ndikimeve sociale të projektit (ESMF)“ dhe</w:t>
      </w:r>
    </w:p>
    <w:p w:rsidR="00736130" w:rsidRPr="00736130" w:rsidRDefault="00736130" w:rsidP="007361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Latn-CS"/>
        </w:rPr>
        <w:t>„Lista kontrolluese e planit të menaxhimit mjedisor jetësor dhe qështjet sociale (ESMP)“.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36130" w:rsidRPr="00736130" w:rsidRDefault="00736130" w:rsidP="007361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Neni 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Lënda e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hirrjes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ublike është zbatimi i masave të mëposhtme për efiçiencën e energjisë: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1)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Ndërrimi i dritareve dhe dyerve të jashtme dhe elementëve të tjerë transparentë të mbështjellësit termik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Kjo masë përfshin edhe pajisjet shoqëruese të dritareve/dyerve, si ulluqe,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drrasa për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dritare,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roletne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etj., si dhe punët shoqëruese të ndërtimit për çmontimin dhe instalimin korrekt të dritareve/dyerve, si çmontimi dhe heqja e dritareve/dyerve të vjetra.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në deponi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instalimi i duhur i dritareve, përpunimi rreth dritareve/dyerve me panele gipsi, lëmimi, përpunimi i skajeve dhe suvatimi rreth dritareve/dyerve nga pjesa e brendshme e murit.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Zdrukthtaria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jashtme me karakteristikat minimale teknike të mëposhtme (koeficienti U i transferimit të nxehtësisë),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U≤ 1.3 W/m2К për dritaren e plotë (kur certifikata është bërë për të gjithë montimin e xhamit dhe kornizës),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U≤ 1.3 W/m2К për xhamat e dritareve dhe dyerve të ballkonit (kur certifikata është bërë për sipërfaqe transparente),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- U≤ 1.3 W/m2К për profilet e dritareve dhe dyerve të ballkonit (kur është bërë certifikata për kornizën)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dhe 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U≤ 1.6 W/m2К për dyert e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hapsirave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të pa ngrohura.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2) Vendosja e termoizolimit të mureve të jashtme, dyshemeve në tokë dhe pjesëve të tjera të mbështjellësit termik drejt hapësirës së pa ngrohur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Me këtë masë është e nevojshme të plotësohet kriteri i mëposhtëm i efikasitetit të energjisë: 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-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trashësia minimale e termoizolimit në muret e jashtme duhet të jetë 10 cm, përveç nëse ekziston mundësia teknike për të instaluar këtë trashësi izolimi.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3) Vendosja e termoizolimit nën mbulesën e çatisë ose tavanit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Në kuadër të kësaj mase mundësohet vendosja dhe blerja e materialeve për termoizolimin e çatisë apo tavanit mbi hapësirën me ngrohje. Kjo masë mund të përfshijë, në rast se dëmtohet mbulesa e çatisë dhe sistemi hidroizolues i çatisë, dhe punë ndërtimore për zëvendësimin e hidroizolimit dhe shtresave të tjera të mbulesës së çatisë, si dhe punime llamarine, por jo punë për zëvendësimin e elementeve strukturorë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të çatisë.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 këtë masë është e nevojshme të plotësohen kriteret e mëposhtme të efikasitetit të energjisë: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-</w:t>
      </w:r>
      <w:r w:rsidRPr="00736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trashësia minimale e izolimit termik të çatisë ose tavanit mbi hapësirën e ngrohur duhet të jetë 20 cm, përveç rasteve kur është teknikisht e mundur instalimi i kësaj trashësie izolimi.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4) Zëvendësimi i ngrohësit ekzistues me karburant të ngurtë (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kladaja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ose furrë) me një kazan më efikas me gaz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Në kuadër të kësaj mase mundësohet sigurimi dhe instalimi i kldajave me gaz natyror, ngrohësve të hapësirës, ​​ose zëvendësimi i ngrohësit ekzistues (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kladaja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ose furrë) me një më efikas për shtëpitë familjare.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 këtë masë është e nevojshme të plotësohen kriteret e mëposhtme të efikasitetit të energjisë: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- 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Niveli minimal i efikasitetit të një bojleri (ngrohës hapësire) që përdor gaz natyror duhet të jetë 90%. Kaldaja duhet të jetë e pajisur me funksione sigurie dhe funksione rregullimi automatik, si rregullimi i temperaturës në linjën e shpërndarjes etj.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VËREJTJE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* Është e mundur të zëvendësohet kaldaja ekzistuese e gazit natyror që është instaluar në një periudhë më të gjatë se 15 vjet nga data e publikimit të kësaj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</w:t>
      </w:r>
      <w:r w:rsidRPr="0073613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hirrjeje Publike. Zëvendësimi mund të bëhet vetëm duke blerë dhe instaluar një kazan me kondensim të gazit natyror me një rendiment minimal 100%.</w:t>
      </w:r>
    </w:p>
    <w:p w:rsidR="00736130" w:rsidRPr="00736130" w:rsidRDefault="00736130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613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987DDF" w:rsidRPr="009B3805" w:rsidRDefault="00987DDF" w:rsidP="0073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5) </w:t>
      </w:r>
      <w:r w:rsidR="00E15BEF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Zëvendësimi i ngrohësit ekzistues të karburantit të ngurtë (kaldaja</w:t>
      </w:r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apo furrë</w:t>
      </w:r>
      <w:r w:rsidR="00E15BEF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) me një kazan më efikas të biomasës</w:t>
      </w:r>
    </w:p>
    <w:p w:rsidR="00987DDF" w:rsidRPr="000D1FA7" w:rsidRDefault="00E15BE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Në kuadër të kësaj mase mundësohet prokurimi dhe instalimi i kaldajave me biomasë (pelet druri, briketa dhe copëza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). </w:t>
      </w:r>
    </w:p>
    <w:p w:rsidR="00987DDF" w:rsidRPr="000D1FA7" w:rsidRDefault="00E15BE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Me këtë masë është e nevojshme të plotësohet kriteri i mëposhtëm i efikasitetit të energjisë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987DDF" w:rsidRPr="000D1FA7" w:rsidRDefault="00E15BEF" w:rsidP="00987DDF">
      <w:pPr>
        <w:numPr>
          <w:ilvl w:val="0"/>
          <w:numId w:val="5"/>
        </w:num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shkalla minimale e dobisë së një kaldaje me biomasë (ngrohës hapësire) (pelet druri, briketa, dhe copëza) duhet të jetë 85%.</w:t>
      </w:r>
      <w:r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Kaldaja duhet të jetë e pajisur me funksione 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lastRenderedPageBreak/>
        <w:t>sigurie dhe funksione rregullimi automatik, si rregullimi i temperaturës në linjën e shpërndarjes etj.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6) </w:t>
      </w:r>
      <w:r w:rsidR="00561ABD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Instalimi i pompave të nxehtësisë</w:t>
      </w:r>
    </w:p>
    <w:p w:rsidR="00987DDF" w:rsidRPr="000D1FA7" w:rsidRDefault="00561ABD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bookmarkStart w:id="1" w:name="_Hlk136517492"/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Në kuadër të kësaj mase është e mundur të sigurohen dhe instalohen pompat e nxehtësisë: pompat e nxehtësisë ajër-ajër;</w:t>
      </w:r>
      <w:r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pompat e nxehtësisë ajër-ujë ose pompat e nxehtësisë së ujit të tokës (me kolektorë horizontalë ose me gjeozonde)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987DDF" w:rsidRPr="000D1FA7" w:rsidRDefault="00F55F8A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Me këtë masë është e nevojshme të plotësohen kriteret e mëposhtme të efikasitetit të energjisë:</w:t>
      </w:r>
    </w:p>
    <w:p w:rsidR="00987DDF" w:rsidRPr="000D1FA7" w:rsidRDefault="00F55F8A" w:rsidP="00987DDF">
      <w:pPr>
        <w:numPr>
          <w:ilvl w:val="0"/>
          <w:numId w:val="3"/>
        </w:num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SCOP minimale (koeficienti i ngrohjes sezonale) sipas burimit të energjisë termike duhet të jetë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Ajri, më shumë se</w:t>
      </w:r>
      <w:r w:rsidR="00F55F8A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3,4; 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Toka, më shumë se</w:t>
      </w:r>
      <w:r w:rsidR="00F55F8A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4,0;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Uji, më shumë se</w:t>
      </w:r>
      <w:r w:rsidR="00F55F8A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4,5.</w:t>
      </w:r>
      <w:bookmarkEnd w:id="1"/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</w:p>
    <w:p w:rsidR="00987DDF" w:rsidRPr="000D1FA7" w:rsidRDefault="00987DDF" w:rsidP="00F55F8A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7) </w:t>
      </w:r>
      <w:bookmarkStart w:id="2" w:name="_Hlk136517551"/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Ndërrimi i rrjetit ekzistues ose instalimi i një rrjeti të ri tubash, elemente ngrohjeje dhe aksesorë shoqërues Kjo masë konsiston në (i) instalimin e pompave të qarkullimit të rregulluar elektronikisht, (ii) zëvendësimin dhe izolimin e rrjetit të tubacioneve, (iii) zëvendësimin e radiatorëve, (iv) pajisjen e sistemit të ngrohjes me pajisje rregulluese dhe kontrolluese (valvola balancuese, shpërndarës, rregullatorët e rrjedhës) dhe, (v) pajisjet për matjen e nxehtësisë, si kalorimetrat.</w:t>
      </w:r>
      <w:r w:rsidR="00F55F8A"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Është e detyrueshme instalimi i valvulave termostatike në elementët e ngrohjes.</w:t>
      </w:r>
      <w:r w:rsidR="00F55F8A"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Kjo masë mund të mbulojë instalimet e freonit të sistemeve "multi-split" me zgjerim të drejtpërdrejtë, nëse kryhet në kombinim me masën nga paragrafi 1, pika 6) d.m.th.</w:t>
      </w:r>
      <w:r w:rsidR="00F55F8A"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55F8A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duke instaluar një pompë nxehtësie ajër-ajër</w:t>
      </w: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987DDF" w:rsidRPr="000D1FA7" w:rsidRDefault="00F55F8A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Shënim: Kjo masë mund të zbatohet vetëm së bashku me masën e zëvendësimit të ngrohësit ekzistues (kaldaja apo furrë) me një më efikas, nga paragrafi 1, pika 4) ose 5) ose 6) të këtij neni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br/>
      </w:r>
      <w:bookmarkEnd w:id="2"/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8) </w:t>
      </w:r>
      <w:r w:rsidR="004A1873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Instalimi i kolektorëve diellorë në instalimin për përgatitjen qendrore të ujit të ngrohtë </w:t>
      </w: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9) </w:t>
      </w:r>
      <w:r w:rsidR="00D11BB5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Instalimi i paneleve diellore dhe instalimeve përcjellëse për prodhimin e energjisë elektrike për nevoja vetjake, instalimi i një pajisje matëse dykahëshe për matjen e energjisë elektrike të dorëzuar dhe marrë dhe përgatitja e dokumentacionit teknik të nevojshëm dhe raporti i kontraktorit për instalimin e paneleve diellore dhe instalimeve përcjellëse. për prodhimin e energjisë elektrike që janë në përputhje me kërkesat e ligjit gjatë kyçjes në sistemin e shpërndarjes</w:t>
      </w: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10) </w:t>
      </w:r>
      <w:r w:rsidR="00DA5BC5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Përgatitja e dokumentacionit teknik sipas </w:t>
      </w:r>
      <w:r w:rsidR="00DA5BC5" w:rsidRPr="000D1FA7">
        <w:rPr>
          <w:rStyle w:val="rynqvb"/>
          <w:rFonts w:ascii="Times New Roman" w:hAnsi="Times New Roman" w:cs="Times New Roman"/>
          <w:sz w:val="24"/>
          <w:szCs w:val="24"/>
          <w:u w:val="single"/>
          <w:lang w:val="sq-AL"/>
        </w:rPr>
        <w:t>rregullave ligjore në fuqi</w:t>
      </w: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</w:p>
    <w:p w:rsidR="00987DDF" w:rsidRPr="000D1FA7" w:rsidRDefault="00DA5BC5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Për secilën nga masat e rehabilitimit të energjisë, fondet maksimale totale stimuluese janë të kufizuara dhe përdoruesi përfundimtar është i detyruar të sigurojë diferencën deri në shumën e plotë të vlerës totale të projektit individual.</w:t>
      </w:r>
      <w:r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Shuma e </w:t>
      </w:r>
      <w:r w:rsidR="002A546C">
        <w:rPr>
          <w:rStyle w:val="rynqvb"/>
          <w:rFonts w:ascii="Times New Roman" w:hAnsi="Times New Roman" w:cs="Times New Roman"/>
          <w:sz w:val="24"/>
          <w:szCs w:val="24"/>
          <w:lang w:val="sq-AL"/>
        </w:rPr>
        <w:t>mjeteve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maksimale totale për masat individuale do të përcaktohet në një thirrje publike për </w:t>
      </w:r>
      <w:r w:rsidR="002A546C">
        <w:rPr>
          <w:rStyle w:val="rynqvb"/>
          <w:rFonts w:ascii="Times New Roman" w:hAnsi="Times New Roman" w:cs="Times New Roman"/>
          <w:sz w:val="24"/>
          <w:szCs w:val="24"/>
          <w:lang w:val="sq-AL"/>
        </w:rPr>
        <w:t>shfrytëzuesit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përfundimtarë (familjet). </w:t>
      </w:r>
      <w:r w:rsidR="002A546C">
        <w:rPr>
          <w:rStyle w:val="rynqvb"/>
          <w:rFonts w:ascii="Times New Roman" w:hAnsi="Times New Roman" w:cs="Times New Roman"/>
          <w:sz w:val="24"/>
          <w:szCs w:val="24"/>
          <w:lang w:val="sq-AL"/>
        </w:rPr>
        <w:t>Shfrytëzusit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përfundimtarë do të kenë të drejtën të aplikojnë për: "Një ose dy masa individuale" ose për një "Paketë" që përfshin disa masa </w:t>
      </w:r>
      <w:r w:rsidR="002A546C">
        <w:rPr>
          <w:rStyle w:val="rynqvb"/>
          <w:rFonts w:ascii="Times New Roman" w:hAnsi="Times New Roman" w:cs="Times New Roman"/>
          <w:sz w:val="24"/>
          <w:szCs w:val="24"/>
          <w:lang w:val="sq-AL"/>
        </w:rPr>
        <w:t>sanimi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të energjisë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987DDF" w:rsidRPr="000D1FA7" w:rsidRDefault="00987DDF" w:rsidP="00987DDF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2A0" w:rsidRPr="000D1FA7" w:rsidRDefault="00DA5BC5" w:rsidP="00A85E4B">
      <w:pPr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Neni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85E4B" w:rsidRPr="000D1FA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152B" w:rsidRPr="000D1FA7" w:rsidRDefault="009732A0" w:rsidP="0065152B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0D1FA7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ab/>
      </w:r>
      <w:r w:rsidR="00DA5BC5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Thirrja publike do të zgjasë deri në shpenzimin e mjeteve financiare për realizimin e projektit “Energji e pastër dhe efikasitet energjetik për qytetarët në Serbi”, dhe më së voni deri më 30.112027.</w:t>
      </w:r>
    </w:p>
    <w:p w:rsidR="00F67D94" w:rsidRPr="000D1FA7" w:rsidRDefault="00F67D94" w:rsidP="0065152B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ab/>
        <w:t xml:space="preserve">Dokumentacioni dorëzohet në zarf të mbyllur me shënimin: </w:t>
      </w:r>
      <w:r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>“Aplikim për Thirrjen Publike për pjesëmarrjen e përdoruesve të drejtpërdrejtë (subjektet eknomike) në zbatimin e masave të sanimit të energjisë për shtëpit dhe banesat familjare – MOS HAPË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”.</w:t>
      </w:r>
      <w:r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Në anën e pasme të zarfit, shënoni informacionin e kontaktit të aplikantit</w:t>
      </w:r>
    </w:p>
    <w:p w:rsidR="00F67D94" w:rsidRPr="000D1FA7" w:rsidRDefault="00F67D94" w:rsidP="0065152B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65152B" w:rsidRPr="000D1FA7" w:rsidRDefault="0065152B" w:rsidP="006515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152B" w:rsidRPr="000D1FA7" w:rsidRDefault="0065152B" w:rsidP="0065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FA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7D94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Aplikimet dorëzohen direkt ose me postë rekomande në adresën rruga Kralja Milana nr.</w:t>
      </w:r>
      <w:r w:rsidR="00F67D94"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67D94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48, 16240 Medvegjë, zyra nr.</w:t>
      </w:r>
      <w:r w:rsidR="00F67D94" w:rsidRPr="000D1FA7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67D94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28</w:t>
      </w:r>
      <w:r w:rsidRPr="000D1F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152B" w:rsidRPr="000D1FA7" w:rsidRDefault="0065152B" w:rsidP="0065152B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  <w:r w:rsidRPr="000D1FA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7D94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 xml:space="preserve">Për të gjitha informatat dhe njoftimet shtesë lidhur me Thirrjen Publike, të interesuarit mund të kontaktojnë Jasmina Angjeliq - Koordinatore për Ler </w:t>
      </w:r>
      <w:r w:rsidR="008F521B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>në fushën veprimtarive</w:t>
      </w:r>
      <w:r w:rsidR="00F67D94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 xml:space="preserve"> shërbyese, </w:t>
      </w:r>
      <w:r w:rsidR="008F521B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>zonave</w:t>
      </w:r>
      <w:r w:rsidR="00F67D94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 xml:space="preserve"> të mbrojtura dhe bashkëpunimit shkencor </w:t>
      </w:r>
      <w:r w:rsidR="008F521B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F67D94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>teknik dhe koordinatore për menaxhim financiar dhe kontroll në numrin e telefonit kontaktues 064/8638037 ose adresa e e</w:t>
      </w:r>
      <w:r w:rsidR="008F521B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>lektronike</w:t>
      </w:r>
      <w:r w:rsidR="00F67D94" w:rsidRPr="000D1FA7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>: e-mail: jasmina.andjelic@medvedja.ls.gov.rs</w:t>
      </w:r>
    </w:p>
    <w:p w:rsidR="0065152B" w:rsidRPr="000D1FA7" w:rsidRDefault="0065152B" w:rsidP="00651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FA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521B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gjitha pyetjet dhe përgjigjet do të publikohen në faqen e internetit NJVL </w:t>
      </w:r>
      <w:hyperlink r:id="rId10" w:history="1">
        <w:r w:rsidR="006A2AE4" w:rsidRPr="000D1FA7">
          <w:rPr>
            <w:rStyle w:val="Hyperlink"/>
            <w:rFonts w:ascii="Times New Roman" w:hAnsi="Times New Roman" w:cs="Times New Roman"/>
            <w:sz w:val="24"/>
            <w:szCs w:val="24"/>
          </w:rPr>
          <w:t>www.medvedja.ls.gov.rs</w:t>
        </w:r>
      </w:hyperlink>
    </w:p>
    <w:p w:rsidR="0065152B" w:rsidRPr="000D1FA7" w:rsidRDefault="0065152B" w:rsidP="0065152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06032" w:rsidRPr="000D1FA7" w:rsidRDefault="008F521B" w:rsidP="00206032">
      <w:pPr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Neni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85E4B" w:rsidRPr="000D1FA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987DDF" w:rsidRPr="000D1F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7DDF" w:rsidRPr="000D1FA7" w:rsidRDefault="009732A0" w:rsidP="00987DDF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="00206032"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Aplikacioni i dorëzuar në Thirrje Publike nga subjekti afarist (në tekstin e mëtejmë: Aplikacioni) përmban formularin e Aplikimit, deklarata dhe certifikatat/Raportet e Testimit për pajisjet dhe produktet që duhet të plotësojnë kriteret minimale të efiçencës energjetike.</w:t>
      </w:r>
    </w:p>
    <w:p w:rsidR="009732A0" w:rsidRPr="000D1FA7" w:rsidRDefault="009732A0" w:rsidP="00987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0D1FA7" w:rsidRDefault="009732A0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DDF" w:rsidRPr="000D1FA7" w:rsidRDefault="00206032" w:rsidP="009732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Neni </w:t>
      </w:r>
      <w:r w:rsidR="009732A0" w:rsidRPr="000D1F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85E4B" w:rsidRPr="000D1FA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9732A0" w:rsidRPr="000D1F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732A0" w:rsidRPr="000D1FA7" w:rsidRDefault="00206032" w:rsidP="00E12026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Thirrja publike për përzgjedhjen e shfrytëzuesve të drejtpërdrejtë (subjektet ekonomike) kryhet nga Komisioni të zbatimit të masave të sanimit të energjisë.</w:t>
      </w:r>
    </w:p>
    <w:p w:rsidR="009732A0" w:rsidRPr="000D1FA7" w:rsidRDefault="009732A0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032" w:rsidRPr="000D1FA7" w:rsidRDefault="00206032" w:rsidP="009732A0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0D1FA7">
        <w:rPr>
          <w:rStyle w:val="rynqvb"/>
          <w:rFonts w:ascii="Times New Roman" w:hAnsi="Times New Roman" w:cs="Times New Roman"/>
          <w:sz w:val="24"/>
          <w:szCs w:val="24"/>
          <w:lang w:val="sq-AL"/>
        </w:rPr>
        <w:t>KËSHILLI KOMUNAL I KOMUNËS SË MEDVEGJËS</w:t>
      </w:r>
    </w:p>
    <w:p w:rsidR="009732A0" w:rsidRPr="000D1FA7" w:rsidRDefault="009732A0" w:rsidP="00973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08 </w:t>
      </w:r>
      <w:r w:rsidR="00206032" w:rsidRPr="000D1FA7">
        <w:rPr>
          <w:rFonts w:ascii="Times New Roman" w:eastAsia="Times New Roman" w:hAnsi="Times New Roman" w:cs="Times New Roman"/>
          <w:sz w:val="24"/>
          <w:szCs w:val="24"/>
          <w:lang w:val="sq-AL"/>
        </w:rPr>
        <w:t>Numëri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5E4" w:rsidRPr="000D1FA7">
        <w:rPr>
          <w:rFonts w:ascii="Times New Roman" w:eastAsia="Times New Roman" w:hAnsi="Times New Roman" w:cs="Times New Roman"/>
          <w:sz w:val="24"/>
          <w:szCs w:val="24"/>
        </w:rPr>
        <w:t xml:space="preserve">06-45/2024/6 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032" w:rsidRPr="000D1FA7">
        <w:rPr>
          <w:rFonts w:ascii="Times New Roman" w:eastAsia="Times New Roman" w:hAnsi="Times New Roman" w:cs="Times New Roman"/>
          <w:sz w:val="24"/>
          <w:szCs w:val="24"/>
          <w:lang w:val="sq-AL"/>
        </w:rPr>
        <w:t>nga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567" w:rsidRPr="000D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5E4" w:rsidRPr="000D1FA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6032" w:rsidRPr="000D1FA7">
        <w:rPr>
          <w:rFonts w:ascii="Times New Roman" w:eastAsia="Times New Roman" w:hAnsi="Times New Roman" w:cs="Times New Roman"/>
          <w:sz w:val="24"/>
          <w:szCs w:val="24"/>
          <w:lang w:val="sq-AL"/>
        </w:rPr>
        <w:t>korrik të vitit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C2567" w:rsidRPr="000D1F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2A0" w:rsidRPr="000D1FA7" w:rsidRDefault="009732A0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32A0" w:rsidRPr="000D1FA7" w:rsidRDefault="009732A0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32A0" w:rsidRPr="000D1FA7" w:rsidRDefault="009732A0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="001B3811" w:rsidRPr="000D1FA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KRYETAR 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2A0" w:rsidRPr="000D1FA7" w:rsidRDefault="009732A0" w:rsidP="0097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B3811" w:rsidRPr="000D1FA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811" w:rsidRPr="000D1FA7">
        <w:rPr>
          <w:rFonts w:ascii="Times New Roman" w:eastAsia="Times New Roman" w:hAnsi="Times New Roman" w:cs="Times New Roman"/>
          <w:sz w:val="24"/>
          <w:szCs w:val="24"/>
          <w:lang w:val="sq-AL"/>
        </w:rPr>
        <w:t>I KËSHILLIT KOMUNAL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46" w:rsidRPr="000D1FA7" w:rsidRDefault="009732A0" w:rsidP="004D3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1B3811" w:rsidRPr="000D1FA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Dragan Kulliq</w:t>
      </w:r>
      <w:r w:rsidRPr="000D1FA7">
        <w:rPr>
          <w:rFonts w:ascii="Times New Roman" w:eastAsia="Times New Roman" w:hAnsi="Times New Roman" w:cs="Times New Roman"/>
          <w:sz w:val="24"/>
          <w:szCs w:val="24"/>
        </w:rPr>
        <w:tab/>
      </w:r>
      <w:r w:rsidR="00E05200" w:rsidRPr="000D1F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0C46" w:rsidRPr="000D1FA7" w:rsidSect="00EE6B1D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25" w:rsidRDefault="007E6925" w:rsidP="00DD1145">
      <w:pPr>
        <w:spacing w:after="0" w:line="240" w:lineRule="auto"/>
      </w:pPr>
      <w:r>
        <w:separator/>
      </w:r>
    </w:p>
  </w:endnote>
  <w:endnote w:type="continuationSeparator" w:id="0">
    <w:p w:rsidR="007E6925" w:rsidRDefault="007E6925" w:rsidP="00DD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29" w:rsidRPr="004D3729" w:rsidRDefault="004D3729" w:rsidP="004D3729">
    <w:pPr>
      <w:pStyle w:val="Footer"/>
      <w:rPr>
        <w:rFonts w:ascii="Times New Roman" w:hAnsi="Times New Roman" w:cs="Times New Roman"/>
        <w:sz w:val="24"/>
        <w:szCs w:val="24"/>
        <w:lang w:val="sr-Latn-CS"/>
      </w:rPr>
    </w:pPr>
    <w:r w:rsidRPr="004D3729">
      <w:rPr>
        <w:rFonts w:ascii="Times New Roman" w:hAnsi="Times New Roman" w:cs="Times New Roman"/>
        <w:sz w:val="24"/>
        <w:szCs w:val="24"/>
        <w:lang w:val="sr-Latn-CS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25" w:rsidRDefault="007E6925" w:rsidP="00DD1145">
      <w:pPr>
        <w:spacing w:after="0" w:line="240" w:lineRule="auto"/>
      </w:pPr>
      <w:r>
        <w:separator/>
      </w:r>
    </w:p>
  </w:footnote>
  <w:footnote w:type="continuationSeparator" w:id="0">
    <w:p w:rsidR="007E6925" w:rsidRDefault="007E6925" w:rsidP="00DD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60907" w:rsidRPr="00ED7DD0" w:rsidTr="00EA3491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360907" w:rsidRPr="004C7E56" w:rsidRDefault="00360907" w:rsidP="00034C63">
          <w:pPr>
            <w:pStyle w:val="TableText"/>
            <w:spacing w:before="0" w:after="0"/>
            <w:jc w:val="left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360907" w:rsidRPr="00583A13" w:rsidRDefault="00BD663F" w:rsidP="00EA3491">
          <w:pPr>
            <w:pStyle w:val="Naslov"/>
            <w:rPr>
              <w:sz w:val="24"/>
              <w:szCs w:val="24"/>
            </w:rPr>
          </w:pPr>
          <w:r>
            <w:rPr>
              <w:sz w:val="24"/>
              <w:szCs w:val="24"/>
            </w:rPr>
            <w:t>VENDIM I KËSHILLIT KOMUNAL</w:t>
          </w:r>
        </w:p>
      </w:tc>
      <w:tc>
        <w:tcPr>
          <w:tcW w:w="1843" w:type="dxa"/>
          <w:vAlign w:val="center"/>
        </w:tcPr>
        <w:p w:rsidR="00360907" w:rsidRPr="00121857" w:rsidRDefault="00360907" w:rsidP="00EA3491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</w:t>
          </w:r>
          <w:r w:rsidR="00BD663F">
            <w:rPr>
              <w:rFonts w:ascii="Times New Roman" w:hAnsi="Times New Roman"/>
              <w:sz w:val="24"/>
              <w:szCs w:val="24"/>
            </w:rPr>
            <w:t>rkivon</w:t>
          </w:r>
          <w:r w:rsidRPr="00121857">
            <w:rPr>
              <w:rFonts w:ascii="Times New Roman" w:hAnsi="Times New Roman"/>
              <w:sz w:val="24"/>
              <w:szCs w:val="24"/>
            </w:rPr>
            <w:t>:</w:t>
          </w:r>
        </w:p>
        <w:p w:rsidR="00360907" w:rsidRPr="00ED7DD0" w:rsidRDefault="00360907" w:rsidP="00EA3491">
          <w:pPr>
            <w:jc w:val="center"/>
            <w:rPr>
              <w:sz w:val="20"/>
            </w:rPr>
          </w:pPr>
        </w:p>
      </w:tc>
    </w:tr>
  </w:tbl>
  <w:p w:rsidR="00360907" w:rsidRDefault="00360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95B51"/>
    <w:multiLevelType w:val="hybridMultilevel"/>
    <w:tmpl w:val="1ACEBB22"/>
    <w:lvl w:ilvl="0" w:tplc="D988DC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058AA"/>
    <w:multiLevelType w:val="hybridMultilevel"/>
    <w:tmpl w:val="B62E969E"/>
    <w:lvl w:ilvl="0" w:tplc="87962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94E"/>
    <w:multiLevelType w:val="hybridMultilevel"/>
    <w:tmpl w:val="D0B09534"/>
    <w:lvl w:ilvl="0" w:tplc="520AC5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46"/>
    <w:rsid w:val="00034C63"/>
    <w:rsid w:val="000D1FA7"/>
    <w:rsid w:val="000F1503"/>
    <w:rsid w:val="00110C46"/>
    <w:rsid w:val="001325AD"/>
    <w:rsid w:val="0014047F"/>
    <w:rsid w:val="001B3811"/>
    <w:rsid w:val="00206032"/>
    <w:rsid w:val="002579A2"/>
    <w:rsid w:val="002A546C"/>
    <w:rsid w:val="002D38B2"/>
    <w:rsid w:val="003400DC"/>
    <w:rsid w:val="00360907"/>
    <w:rsid w:val="003C2567"/>
    <w:rsid w:val="00480BE7"/>
    <w:rsid w:val="004A1873"/>
    <w:rsid w:val="004B456F"/>
    <w:rsid w:val="004D115E"/>
    <w:rsid w:val="004D3729"/>
    <w:rsid w:val="00561ABD"/>
    <w:rsid w:val="005C0BD2"/>
    <w:rsid w:val="005D2AE0"/>
    <w:rsid w:val="005F2C93"/>
    <w:rsid w:val="006000CC"/>
    <w:rsid w:val="00601AC4"/>
    <w:rsid w:val="0064653D"/>
    <w:rsid w:val="0065152B"/>
    <w:rsid w:val="006A2AE4"/>
    <w:rsid w:val="007242CF"/>
    <w:rsid w:val="00736130"/>
    <w:rsid w:val="007B258A"/>
    <w:rsid w:val="007E6925"/>
    <w:rsid w:val="008F264C"/>
    <w:rsid w:val="008F521B"/>
    <w:rsid w:val="009732A0"/>
    <w:rsid w:val="00987DDF"/>
    <w:rsid w:val="009B3805"/>
    <w:rsid w:val="009E375E"/>
    <w:rsid w:val="009E3AA6"/>
    <w:rsid w:val="009F1C01"/>
    <w:rsid w:val="00A37119"/>
    <w:rsid w:val="00A37858"/>
    <w:rsid w:val="00A50B85"/>
    <w:rsid w:val="00A5308A"/>
    <w:rsid w:val="00A62EED"/>
    <w:rsid w:val="00A85E4B"/>
    <w:rsid w:val="00AE095F"/>
    <w:rsid w:val="00B3463D"/>
    <w:rsid w:val="00BB6B50"/>
    <w:rsid w:val="00BC7543"/>
    <w:rsid w:val="00BD663F"/>
    <w:rsid w:val="00C26FDD"/>
    <w:rsid w:val="00C5375B"/>
    <w:rsid w:val="00C672CA"/>
    <w:rsid w:val="00CB51BD"/>
    <w:rsid w:val="00CF721F"/>
    <w:rsid w:val="00D03D6B"/>
    <w:rsid w:val="00D11BB5"/>
    <w:rsid w:val="00D21D4A"/>
    <w:rsid w:val="00D70805"/>
    <w:rsid w:val="00DA5BC5"/>
    <w:rsid w:val="00DB1F07"/>
    <w:rsid w:val="00DD1145"/>
    <w:rsid w:val="00E02085"/>
    <w:rsid w:val="00E05200"/>
    <w:rsid w:val="00E12026"/>
    <w:rsid w:val="00E15BEF"/>
    <w:rsid w:val="00E42840"/>
    <w:rsid w:val="00E975E5"/>
    <w:rsid w:val="00EE6B1D"/>
    <w:rsid w:val="00F37748"/>
    <w:rsid w:val="00F415E4"/>
    <w:rsid w:val="00F55F8A"/>
    <w:rsid w:val="00F67D94"/>
    <w:rsid w:val="00FC4EB4"/>
    <w:rsid w:val="00FD3259"/>
    <w:rsid w:val="00FF006A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152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152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152B"/>
    <w:rPr>
      <w:b/>
      <w:bCs/>
    </w:rPr>
  </w:style>
  <w:style w:type="character" w:customStyle="1" w:styleId="rynqvb">
    <w:name w:val="rynqvb"/>
    <w:basedOn w:val="DefaultParagraphFont"/>
    <w:rsid w:val="00E15BEF"/>
  </w:style>
  <w:style w:type="character" w:customStyle="1" w:styleId="hwtze">
    <w:name w:val="hwtze"/>
    <w:basedOn w:val="DefaultParagraphFont"/>
    <w:rsid w:val="00E15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152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152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152B"/>
    <w:rPr>
      <w:b/>
      <w:bCs/>
    </w:rPr>
  </w:style>
  <w:style w:type="character" w:customStyle="1" w:styleId="rynqvb">
    <w:name w:val="rynqvb"/>
    <w:basedOn w:val="DefaultParagraphFont"/>
    <w:rsid w:val="00E15BEF"/>
  </w:style>
  <w:style w:type="character" w:customStyle="1" w:styleId="hwtze">
    <w:name w:val="hwtze"/>
    <w:basedOn w:val="DefaultParagraphFont"/>
    <w:rsid w:val="00E1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edvedja.ls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e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4D51-102F-4942-B1A2-22A049D0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Vida Perovic</cp:lastModifiedBy>
  <cp:revision>2</cp:revision>
  <cp:lastPrinted>2024-07-11T09:49:00Z</cp:lastPrinted>
  <dcterms:created xsi:type="dcterms:W3CDTF">2024-07-12T08:35:00Z</dcterms:created>
  <dcterms:modified xsi:type="dcterms:W3CDTF">2024-07-12T08:35:00Z</dcterms:modified>
</cp:coreProperties>
</file>